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0C719F">
        <w:rPr>
          <w:rFonts w:asciiTheme="minorHAnsi" w:hAnsiTheme="minorHAnsi" w:cstheme="minorHAnsi"/>
          <w:b/>
          <w:bCs/>
          <w:sz w:val="40"/>
          <w:szCs w:val="40"/>
          <w:u w:val="single"/>
        </w:rPr>
        <w:t>13 MAI</w:t>
      </w:r>
      <w:r w:rsidR="001C2FD2">
        <w:rPr>
          <w:rFonts w:asciiTheme="minorHAnsi" w:hAnsiTheme="minorHAnsi" w:cstheme="minorHAnsi"/>
          <w:b/>
          <w:bCs/>
          <w:sz w:val="40"/>
          <w:szCs w:val="40"/>
          <w:u w:val="single"/>
        </w:rPr>
        <w:t xml:space="preserve"> 2022</w:t>
      </w:r>
    </w:p>
    <w:p w:rsidR="00287461" w:rsidRPr="00CD7DBD" w:rsidRDefault="00287461" w:rsidP="00287461">
      <w:pPr>
        <w:rPr>
          <w:rFonts w:asciiTheme="minorHAnsi" w:hAnsiTheme="minorHAnsi" w:cstheme="minorHAnsi"/>
          <w:sz w:val="22"/>
          <w:szCs w:val="22"/>
        </w:rPr>
      </w:pPr>
    </w:p>
    <w:p w:rsidR="00D13210" w:rsidRPr="00CD7DBD" w:rsidRDefault="00D13210" w:rsidP="00287461">
      <w:pPr>
        <w:rPr>
          <w:rFonts w:asciiTheme="minorHAnsi" w:hAnsiTheme="minorHAnsi" w:cstheme="minorHAnsi"/>
          <w:sz w:val="22"/>
          <w:szCs w:val="22"/>
        </w:rPr>
      </w:pPr>
    </w:p>
    <w:p w:rsidR="00D93664" w:rsidRPr="00214B3E" w:rsidRDefault="00D93664" w:rsidP="00D93664">
      <w:pPr>
        <w:tabs>
          <w:tab w:val="left" w:pos="3402"/>
        </w:tabs>
        <w:rPr>
          <w:rFonts w:ascii="Calibri" w:hAnsi="Calibri" w:cs="Arial"/>
          <w:b/>
          <w:sz w:val="22"/>
          <w:szCs w:val="22"/>
        </w:rPr>
      </w:pPr>
      <w:r w:rsidRPr="00214B3E">
        <w:rPr>
          <w:rFonts w:ascii="Calibri" w:hAnsi="Calibri" w:cs="Arial"/>
          <w:b/>
          <w:sz w:val="22"/>
          <w:szCs w:val="22"/>
        </w:rPr>
        <w:t>Nombre de membres en exercice :</w:t>
      </w:r>
      <w:r w:rsidRPr="00214B3E">
        <w:rPr>
          <w:rFonts w:ascii="Calibri" w:hAnsi="Calibri" w:cs="Arial"/>
          <w:b/>
          <w:sz w:val="22"/>
          <w:szCs w:val="22"/>
        </w:rPr>
        <w:tab/>
        <w:t>15</w:t>
      </w:r>
    </w:p>
    <w:p w:rsidR="00D93664" w:rsidRPr="00214B3E" w:rsidRDefault="00D93664" w:rsidP="00D93664">
      <w:pPr>
        <w:tabs>
          <w:tab w:val="left" w:pos="3402"/>
        </w:tabs>
        <w:rPr>
          <w:rFonts w:ascii="Calibri" w:hAnsi="Calibri" w:cs="Arial"/>
          <w:b/>
          <w:sz w:val="22"/>
          <w:szCs w:val="22"/>
        </w:rPr>
      </w:pPr>
      <w:r w:rsidRPr="00214B3E">
        <w:rPr>
          <w:rFonts w:ascii="Calibri" w:hAnsi="Calibri" w:cs="Arial"/>
          <w:b/>
          <w:sz w:val="22"/>
          <w:szCs w:val="22"/>
        </w:rPr>
        <w:t>Nombre de membres présents :</w:t>
      </w:r>
      <w:r w:rsidRPr="00214B3E">
        <w:rPr>
          <w:rFonts w:ascii="Calibri" w:hAnsi="Calibri" w:cs="Arial"/>
          <w:b/>
          <w:sz w:val="22"/>
          <w:szCs w:val="22"/>
        </w:rPr>
        <w:tab/>
        <w:t>11</w:t>
      </w:r>
    </w:p>
    <w:p w:rsidR="00D93664" w:rsidRPr="00214B3E" w:rsidRDefault="00D93664" w:rsidP="00D93664">
      <w:pPr>
        <w:tabs>
          <w:tab w:val="left" w:pos="3402"/>
        </w:tabs>
        <w:rPr>
          <w:rFonts w:ascii="Calibri" w:hAnsi="Calibri" w:cs="Arial"/>
          <w:b/>
          <w:sz w:val="22"/>
          <w:szCs w:val="22"/>
        </w:rPr>
      </w:pPr>
      <w:r w:rsidRPr="00214B3E">
        <w:rPr>
          <w:rFonts w:ascii="Calibri" w:hAnsi="Calibri" w:cs="Arial"/>
          <w:b/>
          <w:sz w:val="22"/>
          <w:szCs w:val="22"/>
        </w:rPr>
        <w:t>Qui ont pris part à la délibération :</w:t>
      </w:r>
      <w:r w:rsidRPr="00214B3E">
        <w:rPr>
          <w:rFonts w:ascii="Calibri" w:hAnsi="Calibri" w:cs="Arial"/>
          <w:b/>
          <w:sz w:val="22"/>
          <w:szCs w:val="22"/>
        </w:rPr>
        <w:tab/>
        <w:t>13</w:t>
      </w:r>
    </w:p>
    <w:p w:rsidR="00D93664" w:rsidRPr="00214B3E" w:rsidRDefault="00D93664" w:rsidP="00D93664">
      <w:pPr>
        <w:rPr>
          <w:rFonts w:ascii="Calibri" w:hAnsi="Calibri" w:cs="Arial"/>
          <w:sz w:val="22"/>
          <w:szCs w:val="22"/>
        </w:rPr>
      </w:pPr>
    </w:p>
    <w:p w:rsidR="00D93664" w:rsidRPr="00214B3E" w:rsidRDefault="00D93664" w:rsidP="00D93664">
      <w:pPr>
        <w:tabs>
          <w:tab w:val="left" w:pos="2268"/>
        </w:tabs>
        <w:rPr>
          <w:rFonts w:ascii="Calibri" w:hAnsi="Calibri"/>
          <w:b/>
          <w:sz w:val="22"/>
          <w:szCs w:val="22"/>
        </w:rPr>
      </w:pPr>
      <w:r w:rsidRPr="00214B3E">
        <w:rPr>
          <w:rFonts w:ascii="Calibri" w:hAnsi="Calibri" w:cs="Arial"/>
          <w:b/>
          <w:sz w:val="22"/>
          <w:szCs w:val="22"/>
          <w:u w:val="single"/>
        </w:rPr>
        <w:t>Date de convocation</w:t>
      </w:r>
      <w:r w:rsidRPr="00214B3E">
        <w:rPr>
          <w:rFonts w:ascii="Calibri" w:hAnsi="Calibri" w:cs="Arial"/>
          <w:b/>
          <w:sz w:val="22"/>
          <w:szCs w:val="22"/>
        </w:rPr>
        <w:t> :</w:t>
      </w:r>
      <w:r w:rsidRPr="00214B3E">
        <w:rPr>
          <w:rFonts w:ascii="Calibri" w:hAnsi="Calibri" w:cs="Arial"/>
          <w:b/>
          <w:sz w:val="22"/>
          <w:szCs w:val="22"/>
        </w:rPr>
        <w:tab/>
        <w:t>9 mai 2022</w:t>
      </w:r>
    </w:p>
    <w:p w:rsidR="00D93664" w:rsidRPr="00214B3E" w:rsidRDefault="00D93664" w:rsidP="00D93664">
      <w:pPr>
        <w:tabs>
          <w:tab w:val="left" w:pos="2268"/>
        </w:tabs>
        <w:rPr>
          <w:rFonts w:ascii="Calibri" w:hAnsi="Calibri"/>
          <w:b/>
          <w:sz w:val="22"/>
          <w:szCs w:val="22"/>
        </w:rPr>
      </w:pPr>
      <w:r w:rsidRPr="00214B3E">
        <w:rPr>
          <w:rFonts w:ascii="Calibri" w:hAnsi="Calibri" w:cs="Arial"/>
          <w:b/>
          <w:sz w:val="22"/>
          <w:szCs w:val="22"/>
          <w:u w:val="single"/>
        </w:rPr>
        <w:t>Date d’affichage</w:t>
      </w:r>
      <w:r w:rsidRPr="00214B3E">
        <w:rPr>
          <w:rFonts w:ascii="Calibri" w:hAnsi="Calibri" w:cs="Arial"/>
          <w:b/>
          <w:sz w:val="22"/>
          <w:szCs w:val="22"/>
        </w:rPr>
        <w:t> :</w:t>
      </w:r>
      <w:r w:rsidRPr="00214B3E">
        <w:rPr>
          <w:rFonts w:ascii="Calibri" w:hAnsi="Calibri" w:cs="Arial"/>
          <w:b/>
          <w:sz w:val="22"/>
          <w:szCs w:val="22"/>
        </w:rPr>
        <w:tab/>
        <w:t>9 mai 2022</w:t>
      </w:r>
    </w:p>
    <w:p w:rsidR="00D93664" w:rsidRDefault="00D93664" w:rsidP="00D93664">
      <w:pPr>
        <w:rPr>
          <w:rFonts w:ascii="Calibri" w:hAnsi="Calibri"/>
          <w:sz w:val="22"/>
          <w:szCs w:val="22"/>
        </w:rPr>
      </w:pPr>
    </w:p>
    <w:p w:rsidR="00D93664" w:rsidRPr="00214B3E" w:rsidRDefault="00D93664" w:rsidP="00D93664">
      <w:pPr>
        <w:jc w:val="both"/>
        <w:rPr>
          <w:rFonts w:ascii="Calibri" w:hAnsi="Calibri" w:cs="Arial"/>
          <w:sz w:val="22"/>
          <w:szCs w:val="22"/>
        </w:rPr>
      </w:pPr>
      <w:r w:rsidRPr="00214B3E">
        <w:rPr>
          <w:rFonts w:ascii="Calibri" w:hAnsi="Calibri" w:cs="Arial"/>
          <w:sz w:val="22"/>
          <w:szCs w:val="22"/>
        </w:rPr>
        <w:t>L’an deux mil vingt-deux, le treize mai à vingt heures, le Conseil Municipal de la commune de Mérobert, dûment convoqué, s’est réuni dans le lieu habituel de ses séances, sous la présidence de M. Alain MARTIN, Maire.</w:t>
      </w:r>
    </w:p>
    <w:p w:rsidR="00D93664" w:rsidRPr="00214B3E" w:rsidRDefault="00D93664" w:rsidP="00D93664">
      <w:pPr>
        <w:jc w:val="both"/>
        <w:rPr>
          <w:rFonts w:ascii="Calibri" w:hAnsi="Calibri" w:cs="Arial"/>
          <w:sz w:val="22"/>
          <w:szCs w:val="22"/>
        </w:rPr>
      </w:pPr>
    </w:p>
    <w:p w:rsidR="00D93664" w:rsidRPr="00214B3E" w:rsidRDefault="00D93664" w:rsidP="00D93664">
      <w:pPr>
        <w:ind w:right="-1"/>
        <w:jc w:val="both"/>
        <w:rPr>
          <w:rFonts w:ascii="Calibri" w:hAnsi="Calibri" w:cs="Arial"/>
          <w:sz w:val="22"/>
          <w:szCs w:val="22"/>
        </w:rPr>
      </w:pPr>
      <w:r w:rsidRPr="00214B3E">
        <w:rPr>
          <w:rFonts w:ascii="Calibri" w:hAnsi="Calibri" w:cs="Arial"/>
          <w:b/>
          <w:sz w:val="22"/>
          <w:szCs w:val="22"/>
          <w:u w:val="single"/>
        </w:rPr>
        <w:t>Etaient présents</w:t>
      </w:r>
      <w:r w:rsidRPr="00214B3E">
        <w:rPr>
          <w:rFonts w:ascii="Calibri" w:hAnsi="Calibri" w:cs="Arial"/>
          <w:sz w:val="22"/>
          <w:szCs w:val="22"/>
        </w:rPr>
        <w:t> : M. Arnauld DENICOLAÏ, 1</w:t>
      </w:r>
      <w:r w:rsidRPr="00214B3E">
        <w:rPr>
          <w:rFonts w:ascii="Calibri" w:hAnsi="Calibri" w:cs="Arial"/>
          <w:sz w:val="22"/>
          <w:szCs w:val="22"/>
          <w:vertAlign w:val="superscript"/>
        </w:rPr>
        <w:t>er</w:t>
      </w:r>
      <w:r w:rsidRPr="00214B3E">
        <w:rPr>
          <w:rFonts w:ascii="Calibri" w:hAnsi="Calibri" w:cs="Arial"/>
          <w:sz w:val="22"/>
          <w:szCs w:val="22"/>
        </w:rPr>
        <w:t xml:space="preserve"> Adjoint, Mme Cynthia SAVARIT, 2</w:t>
      </w:r>
      <w:r w:rsidRPr="00214B3E">
        <w:rPr>
          <w:rFonts w:ascii="Calibri" w:hAnsi="Calibri" w:cs="Arial"/>
          <w:sz w:val="22"/>
          <w:szCs w:val="22"/>
          <w:vertAlign w:val="superscript"/>
        </w:rPr>
        <w:t>ème</w:t>
      </w:r>
      <w:r w:rsidRPr="00214B3E">
        <w:rPr>
          <w:rFonts w:ascii="Calibri" w:hAnsi="Calibri" w:cs="Arial"/>
          <w:sz w:val="22"/>
          <w:szCs w:val="22"/>
        </w:rPr>
        <w:t xml:space="preserve"> Adjointe, Mme LEFEVRE Christine, 4</w:t>
      </w:r>
      <w:r w:rsidRPr="00214B3E">
        <w:rPr>
          <w:rFonts w:ascii="Calibri" w:hAnsi="Calibri" w:cs="Arial"/>
          <w:sz w:val="22"/>
          <w:szCs w:val="22"/>
          <w:vertAlign w:val="superscript"/>
        </w:rPr>
        <w:t>ème</w:t>
      </w:r>
      <w:r w:rsidRPr="00214B3E">
        <w:rPr>
          <w:rFonts w:ascii="Calibri" w:hAnsi="Calibri" w:cs="Arial"/>
          <w:sz w:val="22"/>
          <w:szCs w:val="22"/>
        </w:rPr>
        <w:t xml:space="preserve"> Adjointe, M. Patrick TESSIER, Mme Patricia BORNAT, MM. Jean-Michel MARTIN, José LIÉBEAUX, Olivier LEFEBVRE, Mmes Danielle THEGARID et Corine AYMERICH</w:t>
      </w:r>
    </w:p>
    <w:p w:rsidR="00D93664" w:rsidRPr="00214B3E" w:rsidRDefault="00D93664" w:rsidP="00D93664">
      <w:pPr>
        <w:ind w:right="-1"/>
        <w:jc w:val="both"/>
        <w:rPr>
          <w:rFonts w:ascii="Calibri" w:hAnsi="Calibri" w:cs="Arial"/>
          <w:sz w:val="22"/>
          <w:szCs w:val="22"/>
        </w:rPr>
      </w:pPr>
    </w:p>
    <w:p w:rsidR="00D93664" w:rsidRPr="00214B3E" w:rsidRDefault="00D93664" w:rsidP="00D93664">
      <w:pPr>
        <w:ind w:right="-1"/>
        <w:jc w:val="both"/>
        <w:rPr>
          <w:rFonts w:ascii="Calibri" w:hAnsi="Calibri" w:cs="Arial"/>
          <w:sz w:val="22"/>
          <w:szCs w:val="22"/>
        </w:rPr>
      </w:pPr>
      <w:r w:rsidRPr="00214B3E">
        <w:rPr>
          <w:rFonts w:ascii="Calibri" w:hAnsi="Calibri" w:cs="Arial"/>
          <w:b/>
          <w:sz w:val="22"/>
          <w:szCs w:val="22"/>
          <w:u w:val="single"/>
        </w:rPr>
        <w:t>Absents excusés représentés</w:t>
      </w:r>
      <w:r w:rsidRPr="00214B3E">
        <w:rPr>
          <w:rFonts w:ascii="Calibri" w:hAnsi="Calibri" w:cs="Arial"/>
          <w:sz w:val="22"/>
          <w:szCs w:val="22"/>
        </w:rPr>
        <w:t> : M. Jérémy DAUVILLIERS représenté par M. José LIÉBEAUX, M. Emmanuel SAVARIT représenté par Mme Cynthia SAVARIT</w:t>
      </w:r>
    </w:p>
    <w:p w:rsidR="00D93664" w:rsidRPr="00214B3E" w:rsidRDefault="00D93664" w:rsidP="00D93664">
      <w:pPr>
        <w:tabs>
          <w:tab w:val="left" w:pos="6238"/>
        </w:tabs>
        <w:jc w:val="both"/>
        <w:rPr>
          <w:rFonts w:ascii="Calibri" w:hAnsi="Calibri" w:cs="Calibri"/>
          <w:sz w:val="22"/>
          <w:szCs w:val="22"/>
        </w:rPr>
      </w:pPr>
    </w:p>
    <w:p w:rsidR="00D93664" w:rsidRPr="00214B3E" w:rsidRDefault="00D93664" w:rsidP="00D93664">
      <w:pPr>
        <w:ind w:right="-1"/>
        <w:jc w:val="both"/>
        <w:rPr>
          <w:rFonts w:ascii="Calibri" w:hAnsi="Calibri" w:cs="Arial"/>
          <w:sz w:val="22"/>
          <w:szCs w:val="22"/>
        </w:rPr>
      </w:pPr>
      <w:r w:rsidRPr="00214B3E">
        <w:rPr>
          <w:rFonts w:ascii="Calibri" w:hAnsi="Calibri" w:cs="Arial"/>
          <w:b/>
          <w:sz w:val="22"/>
          <w:szCs w:val="22"/>
          <w:u w:val="single"/>
        </w:rPr>
        <w:t>Absente excusée</w:t>
      </w:r>
      <w:r w:rsidRPr="00214B3E">
        <w:rPr>
          <w:rFonts w:ascii="Calibri" w:hAnsi="Calibri" w:cs="Arial"/>
          <w:sz w:val="22"/>
          <w:szCs w:val="22"/>
        </w:rPr>
        <w:t> : Mme Madeleine BOURROUX</w:t>
      </w:r>
    </w:p>
    <w:p w:rsidR="00D93664" w:rsidRPr="00214B3E" w:rsidRDefault="00D93664" w:rsidP="00D93664">
      <w:pPr>
        <w:tabs>
          <w:tab w:val="left" w:pos="6238"/>
        </w:tabs>
        <w:jc w:val="both"/>
        <w:rPr>
          <w:rFonts w:ascii="Calibri" w:hAnsi="Calibri" w:cs="Calibri"/>
          <w:sz w:val="22"/>
          <w:szCs w:val="22"/>
        </w:rPr>
      </w:pPr>
    </w:p>
    <w:p w:rsidR="00D93664" w:rsidRDefault="00D93664" w:rsidP="00D93664">
      <w:pPr>
        <w:ind w:right="-1"/>
        <w:jc w:val="both"/>
        <w:rPr>
          <w:rFonts w:ascii="Calibri" w:hAnsi="Calibri" w:cs="Arial"/>
          <w:sz w:val="22"/>
          <w:szCs w:val="22"/>
        </w:rPr>
      </w:pPr>
      <w:r w:rsidRPr="00214B3E">
        <w:rPr>
          <w:rFonts w:ascii="Calibri" w:hAnsi="Calibri" w:cs="Arial"/>
          <w:b/>
          <w:sz w:val="22"/>
          <w:szCs w:val="22"/>
          <w:u w:val="single"/>
        </w:rPr>
        <w:t>Absente</w:t>
      </w:r>
      <w:r w:rsidRPr="00214B3E">
        <w:rPr>
          <w:rFonts w:ascii="Calibri" w:hAnsi="Calibri" w:cs="Arial"/>
          <w:sz w:val="22"/>
          <w:szCs w:val="22"/>
        </w:rPr>
        <w:t> : Mme Marie Patricia LACRAMPE, 3</w:t>
      </w:r>
      <w:r w:rsidRPr="00214B3E">
        <w:rPr>
          <w:rFonts w:ascii="Calibri" w:hAnsi="Calibri" w:cs="Arial"/>
          <w:sz w:val="22"/>
          <w:szCs w:val="22"/>
          <w:vertAlign w:val="superscript"/>
        </w:rPr>
        <w:t>ème</w:t>
      </w:r>
      <w:r w:rsidRPr="00214B3E">
        <w:rPr>
          <w:rFonts w:ascii="Calibri" w:hAnsi="Calibri" w:cs="Arial"/>
          <w:sz w:val="22"/>
          <w:szCs w:val="22"/>
        </w:rPr>
        <w:t xml:space="preserve"> Adjointe</w:t>
      </w:r>
    </w:p>
    <w:p w:rsidR="00D93664" w:rsidRPr="00214B3E" w:rsidRDefault="00D93664" w:rsidP="00D93664">
      <w:pPr>
        <w:ind w:right="-1"/>
        <w:jc w:val="both"/>
        <w:rPr>
          <w:rFonts w:ascii="Calibri" w:hAnsi="Calibri" w:cs="Arial"/>
          <w:sz w:val="22"/>
          <w:szCs w:val="22"/>
        </w:rPr>
      </w:pPr>
    </w:p>
    <w:p w:rsidR="00D93664" w:rsidRPr="00216630" w:rsidRDefault="00D93664" w:rsidP="00D93664">
      <w:pPr>
        <w:jc w:val="both"/>
        <w:rPr>
          <w:rFonts w:ascii="Calibri" w:hAnsi="Calibri" w:cs="Calibri"/>
          <w:sz w:val="22"/>
          <w:szCs w:val="22"/>
        </w:rPr>
      </w:pPr>
      <w:r w:rsidRPr="00216630">
        <w:rPr>
          <w:rFonts w:ascii="Calibri" w:hAnsi="Calibri" w:cs="Calibri"/>
          <w:b/>
          <w:sz w:val="22"/>
          <w:szCs w:val="22"/>
          <w:u w:val="single"/>
        </w:rPr>
        <w:t>Secrétaire de séance</w:t>
      </w:r>
      <w:r w:rsidRPr="00216630">
        <w:rPr>
          <w:rFonts w:ascii="Calibri" w:hAnsi="Calibri" w:cs="Calibri"/>
          <w:sz w:val="22"/>
          <w:szCs w:val="22"/>
        </w:rPr>
        <w:t xml:space="preserve"> : M. </w:t>
      </w:r>
      <w:r w:rsidR="006E6101">
        <w:rPr>
          <w:rFonts w:ascii="Calibri" w:hAnsi="Calibri" w:cs="Calibri"/>
          <w:sz w:val="22"/>
          <w:szCs w:val="22"/>
        </w:rPr>
        <w:t>Patrick TESSIER</w:t>
      </w:r>
      <w:bookmarkStart w:id="0" w:name="_GoBack"/>
      <w:bookmarkEnd w:id="0"/>
    </w:p>
    <w:p w:rsidR="00D93664" w:rsidRPr="00214B3E" w:rsidRDefault="00D93664" w:rsidP="00D93664">
      <w:pPr>
        <w:tabs>
          <w:tab w:val="left" w:pos="6238"/>
        </w:tabs>
        <w:jc w:val="both"/>
        <w:rPr>
          <w:rFonts w:ascii="Calibri" w:hAnsi="Calibri" w:cs="Calibri"/>
          <w:sz w:val="22"/>
          <w:szCs w:val="22"/>
        </w:rPr>
      </w:pPr>
    </w:p>
    <w:p w:rsidR="00D93664" w:rsidRPr="00214B3E" w:rsidRDefault="00D93664" w:rsidP="00D93664">
      <w:pPr>
        <w:tabs>
          <w:tab w:val="left" w:pos="6238"/>
        </w:tabs>
        <w:jc w:val="both"/>
        <w:rPr>
          <w:rFonts w:ascii="Calibri" w:hAnsi="Calibri" w:cs="Calibri"/>
          <w:sz w:val="22"/>
          <w:szCs w:val="22"/>
        </w:rPr>
      </w:pPr>
      <w:r w:rsidRPr="00214B3E">
        <w:rPr>
          <w:rFonts w:ascii="Calibri" w:hAnsi="Calibri" w:cs="Calibri"/>
          <w:sz w:val="22"/>
          <w:szCs w:val="22"/>
        </w:rPr>
        <w:t>Le quorum étant atteint, le Conseil Municipal, peut délibérer.</w:t>
      </w:r>
    </w:p>
    <w:p w:rsidR="00F7203C" w:rsidRDefault="00F7203C" w:rsidP="00287461">
      <w:pPr>
        <w:rPr>
          <w:rFonts w:asciiTheme="minorHAnsi" w:hAnsiTheme="minorHAnsi" w:cstheme="minorHAnsi"/>
          <w:sz w:val="22"/>
          <w:szCs w:val="22"/>
        </w:rPr>
      </w:pPr>
    </w:p>
    <w:p w:rsidR="004C4368" w:rsidRPr="00CD7DBD" w:rsidRDefault="004C4368" w:rsidP="00287461">
      <w:pPr>
        <w:rPr>
          <w:rFonts w:asciiTheme="minorHAnsi" w:hAnsiTheme="minorHAnsi" w:cstheme="minorHAnsi"/>
          <w:sz w:val="22"/>
          <w:szCs w:val="22"/>
        </w:rPr>
      </w:pPr>
    </w:p>
    <w:p w:rsidR="00F7203C" w:rsidRPr="00CD7DBD" w:rsidRDefault="00F7203C" w:rsidP="006E216B">
      <w:pPr>
        <w:pStyle w:val="Textbody"/>
        <w:numPr>
          <w:ilvl w:val="0"/>
          <w:numId w:val="2"/>
        </w:numPr>
        <w:spacing w:after="0"/>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APPROBATION DU CONSEIL MUNICIPAL DU </w:t>
      </w:r>
      <w:r w:rsidR="00371DEC">
        <w:rPr>
          <w:rFonts w:asciiTheme="minorHAnsi" w:hAnsiTheme="minorHAnsi" w:cstheme="minorHAnsi"/>
          <w:b/>
          <w:sz w:val="22"/>
          <w:szCs w:val="22"/>
          <w:u w:val="single"/>
        </w:rPr>
        <w:t xml:space="preserve">14 </w:t>
      </w:r>
      <w:r w:rsidR="000C2951">
        <w:rPr>
          <w:rFonts w:asciiTheme="minorHAnsi" w:hAnsiTheme="minorHAnsi" w:cstheme="minorHAnsi"/>
          <w:b/>
          <w:sz w:val="22"/>
          <w:szCs w:val="22"/>
          <w:u w:val="single"/>
        </w:rPr>
        <w:t>AVRIL</w:t>
      </w:r>
      <w:r w:rsidR="00371DEC">
        <w:rPr>
          <w:rFonts w:asciiTheme="minorHAnsi" w:hAnsiTheme="minorHAnsi" w:cstheme="minorHAnsi"/>
          <w:b/>
          <w:sz w:val="22"/>
          <w:szCs w:val="22"/>
          <w:u w:val="single"/>
        </w:rPr>
        <w:t xml:space="preserve"> 2022</w:t>
      </w:r>
    </w:p>
    <w:p w:rsidR="00F7203C" w:rsidRPr="00CD7DBD" w:rsidRDefault="00F7203C" w:rsidP="00287461">
      <w:pPr>
        <w:jc w:val="both"/>
        <w:rPr>
          <w:rFonts w:asciiTheme="minorHAnsi" w:hAnsiTheme="minorHAnsi" w:cstheme="minorHAnsi"/>
          <w:sz w:val="22"/>
          <w:szCs w:val="22"/>
        </w:rPr>
      </w:pPr>
    </w:p>
    <w:p w:rsidR="00287461" w:rsidRPr="00CD7DBD" w:rsidRDefault="00287461" w:rsidP="00287461">
      <w:pPr>
        <w:jc w:val="both"/>
        <w:rPr>
          <w:rFonts w:asciiTheme="minorHAnsi" w:hAnsiTheme="minorHAnsi" w:cstheme="minorHAnsi"/>
          <w:sz w:val="22"/>
          <w:szCs w:val="22"/>
        </w:rPr>
      </w:pPr>
      <w:r w:rsidRPr="00CD7DBD">
        <w:rPr>
          <w:rFonts w:asciiTheme="minorHAnsi" w:hAnsiTheme="minorHAnsi" w:cstheme="minorHAnsi"/>
          <w:sz w:val="22"/>
          <w:szCs w:val="22"/>
        </w:rPr>
        <w:t>Monsieur le Maire donne lecture du</w:t>
      </w:r>
      <w:r w:rsidR="009009D1" w:rsidRPr="00CD7DBD">
        <w:rPr>
          <w:rFonts w:asciiTheme="minorHAnsi" w:hAnsiTheme="minorHAnsi" w:cstheme="minorHAnsi"/>
          <w:sz w:val="22"/>
          <w:szCs w:val="22"/>
        </w:rPr>
        <w:t xml:space="preserve"> compte rendu de la réunion du Conseil M</w:t>
      </w:r>
      <w:r w:rsidRPr="00CD7DBD">
        <w:rPr>
          <w:rFonts w:asciiTheme="minorHAnsi" w:hAnsiTheme="minorHAnsi" w:cstheme="minorHAnsi"/>
          <w:sz w:val="22"/>
          <w:szCs w:val="22"/>
        </w:rPr>
        <w:t>unicipal du</w:t>
      </w:r>
      <w:r w:rsidR="00E213CE" w:rsidRPr="00CD7DBD">
        <w:rPr>
          <w:rFonts w:asciiTheme="minorHAnsi" w:hAnsiTheme="minorHAnsi" w:cstheme="minorHAnsi"/>
          <w:sz w:val="22"/>
          <w:szCs w:val="22"/>
        </w:rPr>
        <w:t xml:space="preserve"> </w:t>
      </w:r>
      <w:r w:rsidR="0098328F" w:rsidRPr="00CD7DBD">
        <w:rPr>
          <w:rFonts w:asciiTheme="minorHAnsi" w:hAnsiTheme="minorHAnsi" w:cstheme="minorHAnsi"/>
          <w:sz w:val="22"/>
          <w:szCs w:val="22"/>
        </w:rPr>
        <w:t xml:space="preserve"> </w:t>
      </w:r>
      <w:r w:rsidR="00FE4DDD">
        <w:rPr>
          <w:rFonts w:asciiTheme="minorHAnsi" w:hAnsiTheme="minorHAnsi" w:cstheme="minorHAnsi"/>
          <w:sz w:val="22"/>
          <w:szCs w:val="22"/>
        </w:rPr>
        <w:t xml:space="preserve">                </w:t>
      </w:r>
      <w:r w:rsidR="00652F0C" w:rsidRPr="00CD7DBD">
        <w:rPr>
          <w:rFonts w:asciiTheme="minorHAnsi" w:hAnsiTheme="minorHAnsi" w:cstheme="minorHAnsi"/>
          <w:sz w:val="22"/>
          <w:szCs w:val="22"/>
        </w:rPr>
        <w:t xml:space="preserve">                      </w:t>
      </w:r>
      <w:r w:rsidR="00371DEC">
        <w:rPr>
          <w:rFonts w:asciiTheme="minorHAnsi" w:hAnsiTheme="minorHAnsi" w:cstheme="minorHAnsi"/>
          <w:sz w:val="22"/>
          <w:szCs w:val="22"/>
        </w:rPr>
        <w:t xml:space="preserve">14 </w:t>
      </w:r>
      <w:r w:rsidR="000C2951">
        <w:rPr>
          <w:rFonts w:asciiTheme="minorHAnsi" w:hAnsiTheme="minorHAnsi" w:cstheme="minorHAnsi"/>
          <w:sz w:val="22"/>
          <w:szCs w:val="22"/>
        </w:rPr>
        <w:t>avril</w:t>
      </w:r>
      <w:r w:rsidR="00371DEC">
        <w:rPr>
          <w:rFonts w:asciiTheme="minorHAnsi" w:hAnsiTheme="minorHAnsi" w:cstheme="minorHAnsi"/>
          <w:sz w:val="22"/>
          <w:szCs w:val="22"/>
        </w:rPr>
        <w:t xml:space="preserve"> 2022</w:t>
      </w:r>
      <w:r w:rsidRPr="00CD7DBD">
        <w:rPr>
          <w:rFonts w:asciiTheme="minorHAnsi" w:hAnsiTheme="minorHAnsi" w:cstheme="minorHAnsi"/>
          <w:sz w:val="22"/>
          <w:szCs w:val="22"/>
        </w:rPr>
        <w:t xml:space="preserve"> et demande aux conseillers s’ils sont d’accord sur les termes et si </w:t>
      </w:r>
      <w:r w:rsidR="00C477E7" w:rsidRPr="00CD7DBD">
        <w:rPr>
          <w:rFonts w:asciiTheme="minorHAnsi" w:hAnsiTheme="minorHAnsi" w:cstheme="minorHAnsi"/>
          <w:sz w:val="22"/>
          <w:szCs w:val="22"/>
        </w:rPr>
        <w:t xml:space="preserve">celui-ci </w:t>
      </w:r>
      <w:r w:rsidRPr="00CD7DBD">
        <w:rPr>
          <w:rFonts w:asciiTheme="minorHAnsi" w:hAnsiTheme="minorHAnsi" w:cstheme="minorHAnsi"/>
          <w:sz w:val="22"/>
          <w:szCs w:val="22"/>
        </w:rPr>
        <w:t>est bien le reflet de la réunion.</w:t>
      </w:r>
    </w:p>
    <w:p w:rsidR="00287461" w:rsidRPr="00CD7DBD" w:rsidRDefault="00287461" w:rsidP="00287461">
      <w:pPr>
        <w:jc w:val="both"/>
        <w:rPr>
          <w:rFonts w:asciiTheme="minorHAnsi" w:hAnsiTheme="minorHAnsi" w:cstheme="minorHAnsi"/>
          <w:bCs/>
          <w:sz w:val="22"/>
          <w:szCs w:val="22"/>
        </w:rPr>
      </w:pPr>
    </w:p>
    <w:p w:rsidR="00287461" w:rsidRPr="00CD7DBD" w:rsidRDefault="009009D1" w:rsidP="00287461">
      <w:pPr>
        <w:jc w:val="both"/>
        <w:rPr>
          <w:rFonts w:asciiTheme="minorHAnsi" w:hAnsiTheme="minorHAnsi" w:cstheme="minorHAnsi"/>
          <w:sz w:val="22"/>
          <w:szCs w:val="22"/>
        </w:rPr>
      </w:pPr>
      <w:r w:rsidRPr="00CD7DBD">
        <w:rPr>
          <w:rFonts w:asciiTheme="minorHAnsi" w:hAnsiTheme="minorHAnsi" w:cstheme="minorHAnsi"/>
          <w:sz w:val="22"/>
          <w:szCs w:val="22"/>
        </w:rPr>
        <w:t>Le Conseil M</w:t>
      </w:r>
      <w:r w:rsidR="00287461" w:rsidRPr="00CD7DBD">
        <w:rPr>
          <w:rFonts w:asciiTheme="minorHAnsi" w:hAnsiTheme="minorHAnsi" w:cstheme="minorHAnsi"/>
          <w:sz w:val="22"/>
          <w:szCs w:val="22"/>
        </w:rPr>
        <w:t>unicipal adopte à l’unanimité le compte rendu de la dernière réunion.</w:t>
      </w:r>
    </w:p>
    <w:p w:rsidR="00287461" w:rsidRPr="00CD7DBD" w:rsidRDefault="00287461" w:rsidP="00287461">
      <w:pPr>
        <w:rPr>
          <w:rFonts w:asciiTheme="minorHAnsi" w:hAnsiTheme="minorHAnsi" w:cstheme="minorHAnsi"/>
          <w:sz w:val="22"/>
          <w:szCs w:val="22"/>
        </w:rPr>
      </w:pPr>
    </w:p>
    <w:p w:rsidR="00D13210" w:rsidRPr="00CD7DBD" w:rsidRDefault="00D13210" w:rsidP="00287461">
      <w:pPr>
        <w:rPr>
          <w:rFonts w:asciiTheme="minorHAnsi" w:hAnsiTheme="minorHAnsi" w:cstheme="minorHAnsi"/>
          <w:sz w:val="22"/>
          <w:szCs w:val="22"/>
        </w:rPr>
      </w:pPr>
    </w:p>
    <w:p w:rsidR="002E28C1" w:rsidRPr="00CD7DBD" w:rsidRDefault="002E28C1" w:rsidP="002E28C1">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sidR="001C2FD2">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0C2951">
        <w:rPr>
          <w:rFonts w:asciiTheme="minorHAnsi" w:hAnsiTheme="minorHAnsi" w:cstheme="minorHAnsi"/>
          <w:b/>
          <w:sz w:val="22"/>
          <w:szCs w:val="22"/>
          <w:u w:val="single"/>
        </w:rPr>
        <w:t>11</w:t>
      </w:r>
      <w:r w:rsidRPr="00CD7DBD">
        <w:rPr>
          <w:rFonts w:asciiTheme="minorHAnsi" w:hAnsiTheme="minorHAnsi" w:cstheme="minorHAnsi"/>
          <w:b/>
          <w:sz w:val="22"/>
          <w:szCs w:val="22"/>
          <w:u w:val="single"/>
        </w:rPr>
        <w:t xml:space="preserve"> : </w:t>
      </w:r>
      <w:r w:rsidR="000C2951">
        <w:rPr>
          <w:rFonts w:asciiTheme="minorHAnsi" w:hAnsiTheme="minorHAnsi" w:cstheme="minorHAnsi"/>
          <w:b/>
          <w:sz w:val="22"/>
          <w:szCs w:val="22"/>
          <w:u w:val="single"/>
        </w:rPr>
        <w:t>VOTE DES DEUX TAXES 2022</w:t>
      </w:r>
    </w:p>
    <w:p w:rsidR="00B976D5" w:rsidRPr="00CD7DBD" w:rsidRDefault="00B976D5" w:rsidP="00332361">
      <w:pPr>
        <w:jc w:val="both"/>
        <w:rPr>
          <w:rFonts w:asciiTheme="minorHAnsi" w:hAnsiTheme="minorHAnsi" w:cstheme="minorHAnsi"/>
          <w:sz w:val="22"/>
          <w:szCs w:val="22"/>
        </w:rPr>
      </w:pPr>
    </w:p>
    <w:p w:rsidR="00D93664" w:rsidRDefault="00D93664" w:rsidP="00D93664">
      <w:pPr>
        <w:rPr>
          <w:rFonts w:ascii="Calibri" w:hAnsi="Calibri" w:cs="Arial"/>
          <w:sz w:val="22"/>
          <w:szCs w:val="22"/>
        </w:rPr>
      </w:pPr>
      <w:r w:rsidRPr="00214B3E">
        <w:rPr>
          <w:rFonts w:ascii="Calibri" w:hAnsi="Calibri" w:cs="Arial"/>
          <w:b/>
          <w:sz w:val="22"/>
          <w:szCs w:val="22"/>
        </w:rPr>
        <w:t xml:space="preserve">Considérant </w:t>
      </w:r>
      <w:r w:rsidRPr="00214B3E">
        <w:rPr>
          <w:rFonts w:ascii="Calibri" w:hAnsi="Calibri" w:cs="Arial"/>
          <w:sz w:val="22"/>
          <w:szCs w:val="22"/>
        </w:rPr>
        <w:t>l’état 1259 présenté par les impôts concernant le vote des 2 taxes directes locales pour 2022 (Taxe Foncière « Bâti », Taxe Foncière « Non Bâti ») ;</w:t>
      </w:r>
    </w:p>
    <w:p w:rsidR="00D93664" w:rsidRDefault="00D93664" w:rsidP="00D93664">
      <w:pPr>
        <w:jc w:val="both"/>
        <w:rPr>
          <w:rFonts w:ascii="Calibri" w:hAnsi="Calibri" w:cs="Arial"/>
          <w:sz w:val="22"/>
          <w:szCs w:val="22"/>
        </w:rPr>
      </w:pPr>
      <w:r w:rsidRPr="00214B3E">
        <w:rPr>
          <w:rFonts w:ascii="Calibri" w:hAnsi="Calibri" w:cs="Arial"/>
          <w:b/>
          <w:sz w:val="22"/>
          <w:szCs w:val="22"/>
        </w:rPr>
        <w:t>Considérant</w:t>
      </w:r>
      <w:r w:rsidRPr="00214B3E">
        <w:rPr>
          <w:rFonts w:ascii="Calibri" w:hAnsi="Calibri" w:cs="Arial"/>
          <w:sz w:val="22"/>
          <w:szCs w:val="22"/>
        </w:rPr>
        <w:t xml:space="preserve"> l’article 16 de la Loi de Finances pour 2020, précisant que les parts communales et départementales de la Taxe Foncière sur les Propriétés Bâties (TFPB) sont fusionnées et affectées aux communes dès 2021 en compensation de la perte de la Taxe d’Habitation (TH) sur les résidences principales ;</w:t>
      </w:r>
    </w:p>
    <w:p w:rsidR="00D93664" w:rsidRDefault="00D93664" w:rsidP="00D93664">
      <w:pPr>
        <w:jc w:val="both"/>
        <w:rPr>
          <w:rFonts w:ascii="Calibri" w:hAnsi="Calibri" w:cs="Arial"/>
          <w:sz w:val="22"/>
          <w:szCs w:val="22"/>
        </w:rPr>
      </w:pPr>
      <w:r w:rsidRPr="00214B3E">
        <w:rPr>
          <w:rFonts w:ascii="Calibri" w:hAnsi="Calibri" w:cs="Arial"/>
          <w:b/>
          <w:sz w:val="22"/>
          <w:szCs w:val="22"/>
        </w:rPr>
        <w:t>Considérant</w:t>
      </w:r>
      <w:r w:rsidRPr="00214B3E">
        <w:rPr>
          <w:rFonts w:ascii="Calibri" w:hAnsi="Calibri" w:cs="Arial"/>
          <w:sz w:val="22"/>
          <w:szCs w:val="22"/>
        </w:rPr>
        <w:t xml:space="preserve"> la réforme fiscale déterminant le coefficient correcteur communal, indiquant que </w:t>
      </w:r>
      <w:proofErr w:type="gramStart"/>
      <w:r w:rsidRPr="00214B3E">
        <w:rPr>
          <w:rFonts w:ascii="Calibri" w:hAnsi="Calibri" w:cs="Arial"/>
          <w:sz w:val="22"/>
          <w:szCs w:val="22"/>
        </w:rPr>
        <w:t>la</w:t>
      </w:r>
      <w:proofErr w:type="gramEnd"/>
      <w:r w:rsidRPr="00214B3E">
        <w:rPr>
          <w:rFonts w:ascii="Calibri" w:hAnsi="Calibri" w:cs="Arial"/>
          <w:sz w:val="22"/>
          <w:szCs w:val="22"/>
        </w:rPr>
        <w:t xml:space="preserve"> sur ou sous-compensation est neutralisée chaque année à compter de 2021, par l’application d’un coefficient correcteur au produit TFPB qui aurait résulté du maintien des taux à leur niveau de 2020, et à l’allocation </w:t>
      </w:r>
      <w:r w:rsidRPr="00214B3E">
        <w:rPr>
          <w:rFonts w:ascii="Calibri" w:hAnsi="Calibri" w:cs="Arial"/>
          <w:sz w:val="22"/>
          <w:szCs w:val="22"/>
        </w:rPr>
        <w:lastRenderedPageBreak/>
        <w:t>compensatrice TFPB relative à la diminution de moitié des valeurs locatives des locaux industriels (A du III de l’article 29 de la Loi de Finances pour 2021) ;</w:t>
      </w:r>
    </w:p>
    <w:p w:rsidR="00D93664" w:rsidRPr="00214B3E" w:rsidRDefault="00D93664" w:rsidP="00D93664">
      <w:pPr>
        <w:jc w:val="both"/>
        <w:rPr>
          <w:rFonts w:ascii="Calibri" w:hAnsi="Calibri" w:cs="Arial"/>
          <w:sz w:val="22"/>
          <w:szCs w:val="22"/>
        </w:rPr>
      </w:pPr>
      <w:r w:rsidRPr="00214B3E">
        <w:rPr>
          <w:rFonts w:ascii="Calibri" w:hAnsi="Calibri" w:cs="Arial"/>
          <w:b/>
          <w:sz w:val="22"/>
          <w:szCs w:val="22"/>
        </w:rPr>
        <w:t>Considérant</w:t>
      </w:r>
      <w:r w:rsidRPr="00214B3E">
        <w:rPr>
          <w:rFonts w:ascii="Calibri" w:hAnsi="Calibri" w:cs="Arial"/>
          <w:sz w:val="22"/>
          <w:szCs w:val="22"/>
        </w:rPr>
        <w:t xml:space="preserve"> la proposition d’appliquer une augmentation qui correspond à un coefficient de </w:t>
      </w:r>
      <w:r>
        <w:rPr>
          <w:rFonts w:ascii="Calibri" w:hAnsi="Calibri" w:cs="Arial"/>
          <w:sz w:val="22"/>
          <w:szCs w:val="22"/>
        </w:rPr>
        <w:t>1,021757</w:t>
      </w:r>
      <w:r w:rsidRPr="00214B3E">
        <w:rPr>
          <w:rFonts w:ascii="Calibri" w:hAnsi="Calibri" w:cs="Arial"/>
          <w:sz w:val="22"/>
          <w:szCs w:val="22"/>
        </w:rPr>
        <w:t xml:space="preserve"> aux taux de 2021 pour l’année 2022 ;</w:t>
      </w:r>
    </w:p>
    <w:p w:rsidR="00D93664" w:rsidRPr="00214B3E" w:rsidRDefault="00D93664" w:rsidP="00D93664">
      <w:pPr>
        <w:jc w:val="both"/>
        <w:rPr>
          <w:rFonts w:ascii="Calibri" w:hAnsi="Calibri" w:cs="Arial"/>
          <w:sz w:val="22"/>
          <w:szCs w:val="22"/>
        </w:rPr>
      </w:pPr>
    </w:p>
    <w:p w:rsidR="00D93664" w:rsidRPr="00214B3E" w:rsidRDefault="00D93664" w:rsidP="00D93664">
      <w:pPr>
        <w:jc w:val="both"/>
        <w:rPr>
          <w:rFonts w:ascii="Calibri" w:hAnsi="Calibri" w:cs="Arial"/>
          <w:sz w:val="22"/>
          <w:szCs w:val="22"/>
        </w:rPr>
      </w:pPr>
      <w:r w:rsidRPr="00214B3E">
        <w:rPr>
          <w:rFonts w:ascii="Calibri" w:hAnsi="Calibri" w:cs="Arial"/>
          <w:sz w:val="22"/>
          <w:szCs w:val="22"/>
        </w:rPr>
        <w:t xml:space="preserve">Le Conseil Municipal, après en avoir délibéré à </w:t>
      </w:r>
      <w:r w:rsidRPr="00413FDA">
        <w:rPr>
          <w:rFonts w:ascii="Calibri" w:hAnsi="Calibri" w:cs="Arial"/>
          <w:sz w:val="22"/>
          <w:szCs w:val="22"/>
        </w:rPr>
        <w:t>8 voix pour</w:t>
      </w:r>
      <w:r>
        <w:rPr>
          <w:rFonts w:ascii="Calibri" w:hAnsi="Calibri" w:cs="Arial"/>
          <w:sz w:val="22"/>
          <w:szCs w:val="22"/>
        </w:rPr>
        <w:t>,</w:t>
      </w:r>
      <w:r w:rsidRPr="00413FDA">
        <w:rPr>
          <w:rFonts w:ascii="Calibri" w:hAnsi="Calibri" w:cs="Arial"/>
          <w:sz w:val="22"/>
          <w:szCs w:val="22"/>
        </w:rPr>
        <w:t xml:space="preserve"> </w:t>
      </w:r>
      <w:r>
        <w:rPr>
          <w:rFonts w:ascii="Calibri" w:hAnsi="Calibri" w:cs="Arial"/>
          <w:sz w:val="22"/>
          <w:szCs w:val="22"/>
        </w:rPr>
        <w:t>4</w:t>
      </w:r>
      <w:r w:rsidRPr="00413FDA">
        <w:rPr>
          <w:rFonts w:ascii="Calibri" w:hAnsi="Calibri" w:cs="Arial"/>
          <w:sz w:val="22"/>
          <w:szCs w:val="22"/>
        </w:rPr>
        <w:t xml:space="preserve"> contre et </w:t>
      </w:r>
      <w:r>
        <w:rPr>
          <w:rFonts w:ascii="Calibri" w:hAnsi="Calibri" w:cs="Arial"/>
          <w:sz w:val="22"/>
          <w:szCs w:val="22"/>
        </w:rPr>
        <w:t>1</w:t>
      </w:r>
      <w:r w:rsidRPr="00413FDA">
        <w:rPr>
          <w:rFonts w:ascii="Calibri" w:hAnsi="Calibri" w:cs="Arial"/>
          <w:sz w:val="22"/>
          <w:szCs w:val="22"/>
        </w:rPr>
        <w:t xml:space="preserve"> abstention</w:t>
      </w:r>
      <w:r w:rsidRPr="00214B3E">
        <w:rPr>
          <w:rFonts w:ascii="Calibri" w:hAnsi="Calibri" w:cs="Arial"/>
          <w:sz w:val="22"/>
          <w:szCs w:val="22"/>
        </w:rPr>
        <w:t> :</w:t>
      </w:r>
    </w:p>
    <w:p w:rsidR="00D93664" w:rsidRPr="00214B3E" w:rsidRDefault="00D93664" w:rsidP="00D93664">
      <w:pPr>
        <w:rPr>
          <w:rFonts w:ascii="Calibri" w:hAnsi="Calibri" w:cs="Arial"/>
          <w:sz w:val="22"/>
          <w:szCs w:val="22"/>
        </w:rPr>
      </w:pPr>
    </w:p>
    <w:p w:rsidR="00D93664" w:rsidRPr="00214B3E" w:rsidRDefault="00D93664" w:rsidP="00D93664">
      <w:pPr>
        <w:numPr>
          <w:ilvl w:val="0"/>
          <w:numId w:val="28"/>
        </w:numPr>
        <w:rPr>
          <w:rFonts w:ascii="Calibri" w:hAnsi="Calibri" w:cs="Arial"/>
          <w:sz w:val="22"/>
          <w:szCs w:val="22"/>
        </w:rPr>
      </w:pPr>
      <w:r w:rsidRPr="00214B3E">
        <w:rPr>
          <w:rFonts w:ascii="Calibri" w:hAnsi="Calibri" w:cs="Arial"/>
          <w:b/>
          <w:sz w:val="22"/>
          <w:szCs w:val="22"/>
        </w:rPr>
        <w:t>Adopte</w:t>
      </w:r>
      <w:r w:rsidRPr="00214B3E">
        <w:rPr>
          <w:rFonts w:ascii="Calibri" w:hAnsi="Calibri" w:cs="Arial"/>
          <w:sz w:val="22"/>
          <w:szCs w:val="22"/>
        </w:rPr>
        <w:t xml:space="preserve"> le vote des taxes suivantes :</w:t>
      </w:r>
    </w:p>
    <w:p w:rsidR="00D93664" w:rsidRPr="00214B3E" w:rsidRDefault="00D93664" w:rsidP="00D93664">
      <w:pPr>
        <w:rPr>
          <w:rFonts w:ascii="Calibri" w:hAnsi="Calibri" w:cs="Arial"/>
          <w:sz w:val="22"/>
          <w:szCs w:val="22"/>
        </w:rPr>
      </w:pPr>
    </w:p>
    <w:tbl>
      <w:tblPr>
        <w:tblW w:w="9624" w:type="dxa"/>
        <w:tblInd w:w="-45" w:type="dxa"/>
        <w:tblLayout w:type="fixed"/>
        <w:tblCellMar>
          <w:left w:w="70" w:type="dxa"/>
          <w:right w:w="70" w:type="dxa"/>
        </w:tblCellMar>
        <w:tblLook w:val="04A0" w:firstRow="1" w:lastRow="0" w:firstColumn="1" w:lastColumn="0" w:noHBand="0" w:noVBand="1"/>
      </w:tblPr>
      <w:tblGrid>
        <w:gridCol w:w="4651"/>
        <w:gridCol w:w="2126"/>
        <w:gridCol w:w="992"/>
        <w:gridCol w:w="1855"/>
      </w:tblGrid>
      <w:tr w:rsidR="00D93664" w:rsidRPr="00214B3E" w:rsidTr="00795DA1">
        <w:trPr>
          <w:trHeight w:val="254"/>
        </w:trPr>
        <w:tc>
          <w:tcPr>
            <w:tcW w:w="4651" w:type="dxa"/>
            <w:tcBorders>
              <w:top w:val="single" w:sz="12" w:space="0" w:color="auto"/>
              <w:left w:val="single" w:sz="12" w:space="0" w:color="auto"/>
              <w:bottom w:val="single" w:sz="6" w:space="0" w:color="auto"/>
              <w:right w:val="single" w:sz="6" w:space="0" w:color="auto"/>
            </w:tcBorders>
          </w:tcPr>
          <w:p w:rsidR="00D93664" w:rsidRPr="00214B3E" w:rsidRDefault="00D93664" w:rsidP="00795DA1">
            <w:pPr>
              <w:rPr>
                <w:rFonts w:ascii="Calibri" w:hAnsi="Calibri" w:cs="Arial"/>
                <w:sz w:val="22"/>
                <w:szCs w:val="22"/>
              </w:rPr>
            </w:pPr>
          </w:p>
        </w:tc>
        <w:tc>
          <w:tcPr>
            <w:tcW w:w="2126" w:type="dxa"/>
            <w:tcBorders>
              <w:top w:val="single" w:sz="12" w:space="0" w:color="auto"/>
              <w:left w:val="single" w:sz="6" w:space="0" w:color="auto"/>
              <w:bottom w:val="single" w:sz="6" w:space="0" w:color="auto"/>
              <w:right w:val="single" w:sz="6" w:space="0" w:color="auto"/>
            </w:tcBorders>
            <w:hideMark/>
          </w:tcPr>
          <w:p w:rsidR="00D93664" w:rsidRPr="00214B3E" w:rsidRDefault="00D93664" w:rsidP="00795DA1">
            <w:pPr>
              <w:jc w:val="center"/>
              <w:rPr>
                <w:rFonts w:ascii="Calibri" w:hAnsi="Calibri" w:cs="Arial"/>
                <w:b/>
                <w:bCs/>
                <w:sz w:val="22"/>
                <w:szCs w:val="22"/>
              </w:rPr>
            </w:pPr>
            <w:r w:rsidRPr="00214B3E">
              <w:rPr>
                <w:rFonts w:ascii="Calibri" w:hAnsi="Calibri" w:cs="Arial"/>
                <w:b/>
                <w:bCs/>
                <w:sz w:val="22"/>
                <w:szCs w:val="22"/>
              </w:rPr>
              <w:t>Bases Imposition 2022</w:t>
            </w:r>
          </w:p>
        </w:tc>
        <w:tc>
          <w:tcPr>
            <w:tcW w:w="992" w:type="dxa"/>
            <w:tcBorders>
              <w:top w:val="single" w:sz="12" w:space="0" w:color="auto"/>
              <w:left w:val="single" w:sz="6" w:space="0" w:color="auto"/>
              <w:bottom w:val="single" w:sz="6" w:space="0" w:color="auto"/>
              <w:right w:val="single" w:sz="6" w:space="0" w:color="auto"/>
            </w:tcBorders>
            <w:hideMark/>
          </w:tcPr>
          <w:p w:rsidR="00D93664" w:rsidRPr="00214B3E" w:rsidRDefault="00D93664" w:rsidP="00795DA1">
            <w:pPr>
              <w:jc w:val="center"/>
              <w:rPr>
                <w:rFonts w:ascii="Calibri" w:hAnsi="Calibri" w:cs="Arial"/>
                <w:b/>
                <w:bCs/>
                <w:sz w:val="22"/>
                <w:szCs w:val="22"/>
              </w:rPr>
            </w:pPr>
            <w:r w:rsidRPr="00214B3E">
              <w:rPr>
                <w:rFonts w:ascii="Calibri" w:hAnsi="Calibri" w:cs="Arial"/>
                <w:b/>
                <w:bCs/>
                <w:sz w:val="22"/>
                <w:szCs w:val="22"/>
              </w:rPr>
              <w:t>Taux 2022</w:t>
            </w:r>
          </w:p>
        </w:tc>
        <w:tc>
          <w:tcPr>
            <w:tcW w:w="1855" w:type="dxa"/>
            <w:tcBorders>
              <w:top w:val="single" w:sz="12" w:space="0" w:color="auto"/>
              <w:left w:val="single" w:sz="6" w:space="0" w:color="auto"/>
              <w:bottom w:val="single" w:sz="6" w:space="0" w:color="auto"/>
              <w:right w:val="single" w:sz="12" w:space="0" w:color="auto"/>
            </w:tcBorders>
            <w:hideMark/>
          </w:tcPr>
          <w:p w:rsidR="00D93664" w:rsidRPr="00214B3E" w:rsidRDefault="00D93664" w:rsidP="00795DA1">
            <w:pPr>
              <w:jc w:val="center"/>
              <w:rPr>
                <w:rFonts w:ascii="Calibri" w:hAnsi="Calibri" w:cs="Arial"/>
                <w:b/>
                <w:bCs/>
                <w:sz w:val="22"/>
                <w:szCs w:val="22"/>
              </w:rPr>
            </w:pPr>
            <w:r w:rsidRPr="00214B3E">
              <w:rPr>
                <w:rFonts w:ascii="Calibri" w:hAnsi="Calibri" w:cs="Arial"/>
                <w:b/>
                <w:bCs/>
                <w:sz w:val="22"/>
                <w:szCs w:val="22"/>
              </w:rPr>
              <w:t>Produit</w:t>
            </w:r>
          </w:p>
        </w:tc>
      </w:tr>
      <w:tr w:rsidR="00D93664" w:rsidRPr="00214B3E" w:rsidTr="00795DA1">
        <w:trPr>
          <w:trHeight w:val="202"/>
        </w:trPr>
        <w:tc>
          <w:tcPr>
            <w:tcW w:w="4651" w:type="dxa"/>
            <w:tcBorders>
              <w:top w:val="single" w:sz="6" w:space="0" w:color="auto"/>
              <w:left w:val="single" w:sz="12" w:space="0" w:color="auto"/>
              <w:bottom w:val="single" w:sz="6" w:space="0" w:color="auto"/>
              <w:right w:val="single" w:sz="6" w:space="0" w:color="auto"/>
            </w:tcBorders>
            <w:hideMark/>
          </w:tcPr>
          <w:p w:rsidR="00D93664" w:rsidRPr="00214B3E" w:rsidRDefault="00D93664" w:rsidP="00795DA1">
            <w:pPr>
              <w:rPr>
                <w:rFonts w:ascii="Calibri" w:hAnsi="Calibri" w:cs="Arial"/>
                <w:b/>
                <w:sz w:val="22"/>
                <w:szCs w:val="22"/>
              </w:rPr>
            </w:pPr>
            <w:r w:rsidRPr="00214B3E">
              <w:rPr>
                <w:rFonts w:ascii="Calibri" w:hAnsi="Calibri" w:cs="Arial"/>
                <w:b/>
                <w:sz w:val="22"/>
                <w:szCs w:val="22"/>
              </w:rPr>
              <w:t>Taxe Foncière (Bâti)</w:t>
            </w:r>
          </w:p>
        </w:tc>
        <w:tc>
          <w:tcPr>
            <w:tcW w:w="2126" w:type="dxa"/>
            <w:tcBorders>
              <w:top w:val="single" w:sz="6" w:space="0" w:color="auto"/>
              <w:left w:val="single" w:sz="6" w:space="0" w:color="auto"/>
              <w:bottom w:val="single" w:sz="6" w:space="0" w:color="auto"/>
              <w:right w:val="single" w:sz="6" w:space="0" w:color="auto"/>
            </w:tcBorders>
          </w:tcPr>
          <w:p w:rsidR="00D93664" w:rsidRPr="00214B3E" w:rsidRDefault="00D93664" w:rsidP="00795DA1">
            <w:pPr>
              <w:jc w:val="right"/>
              <w:rPr>
                <w:rFonts w:ascii="Calibri" w:hAnsi="Calibri" w:cs="Arial"/>
                <w:b/>
                <w:sz w:val="22"/>
                <w:szCs w:val="22"/>
              </w:rPr>
            </w:pPr>
            <w:r w:rsidRPr="00214B3E">
              <w:rPr>
                <w:rFonts w:ascii="Calibri" w:hAnsi="Calibri" w:cs="Arial"/>
                <w:b/>
                <w:sz w:val="22"/>
                <w:szCs w:val="22"/>
              </w:rPr>
              <w:t>505 000 €</w:t>
            </w:r>
          </w:p>
        </w:tc>
        <w:tc>
          <w:tcPr>
            <w:tcW w:w="992" w:type="dxa"/>
            <w:tcBorders>
              <w:top w:val="single" w:sz="6" w:space="0" w:color="auto"/>
              <w:left w:val="single" w:sz="6" w:space="0" w:color="auto"/>
              <w:bottom w:val="single" w:sz="6" w:space="0" w:color="auto"/>
              <w:right w:val="single" w:sz="6" w:space="0" w:color="auto"/>
            </w:tcBorders>
          </w:tcPr>
          <w:p w:rsidR="00D93664" w:rsidRPr="00214B3E" w:rsidRDefault="00D93664" w:rsidP="00795DA1">
            <w:pPr>
              <w:jc w:val="center"/>
              <w:rPr>
                <w:rFonts w:ascii="Calibri" w:hAnsi="Calibri" w:cs="Arial"/>
                <w:b/>
                <w:sz w:val="22"/>
                <w:szCs w:val="22"/>
              </w:rPr>
            </w:pPr>
            <w:r>
              <w:rPr>
                <w:rFonts w:ascii="Calibri" w:hAnsi="Calibri" w:cs="Arial"/>
                <w:b/>
                <w:sz w:val="22"/>
                <w:szCs w:val="22"/>
              </w:rPr>
              <w:t>31,88</w:t>
            </w:r>
            <w:r w:rsidRPr="00214B3E">
              <w:rPr>
                <w:rFonts w:ascii="Calibri" w:hAnsi="Calibri" w:cs="Arial"/>
                <w:b/>
                <w:sz w:val="22"/>
                <w:szCs w:val="22"/>
              </w:rPr>
              <w:t>%</w:t>
            </w:r>
          </w:p>
        </w:tc>
        <w:tc>
          <w:tcPr>
            <w:tcW w:w="1855" w:type="dxa"/>
            <w:tcBorders>
              <w:top w:val="single" w:sz="6" w:space="0" w:color="auto"/>
              <w:left w:val="single" w:sz="6" w:space="0" w:color="auto"/>
              <w:bottom w:val="single" w:sz="6" w:space="0" w:color="auto"/>
              <w:right w:val="single" w:sz="12" w:space="0" w:color="auto"/>
            </w:tcBorders>
          </w:tcPr>
          <w:p w:rsidR="00D93664" w:rsidRPr="00214B3E" w:rsidRDefault="00D93664" w:rsidP="00795DA1">
            <w:pPr>
              <w:jc w:val="right"/>
              <w:rPr>
                <w:rFonts w:ascii="Calibri" w:hAnsi="Calibri" w:cs="Arial"/>
                <w:b/>
                <w:sz w:val="22"/>
                <w:szCs w:val="22"/>
              </w:rPr>
            </w:pPr>
            <w:r>
              <w:rPr>
                <w:rFonts w:ascii="Calibri" w:hAnsi="Calibri" w:cs="Arial"/>
                <w:b/>
                <w:sz w:val="22"/>
                <w:szCs w:val="22"/>
              </w:rPr>
              <w:t xml:space="preserve">160 988 </w:t>
            </w:r>
            <w:r w:rsidRPr="00214B3E">
              <w:rPr>
                <w:rFonts w:ascii="Calibri" w:hAnsi="Calibri" w:cs="Arial"/>
                <w:b/>
                <w:sz w:val="22"/>
                <w:szCs w:val="22"/>
              </w:rPr>
              <w:t>€</w:t>
            </w:r>
          </w:p>
        </w:tc>
      </w:tr>
      <w:tr w:rsidR="00D93664" w:rsidRPr="00214B3E" w:rsidTr="00795DA1">
        <w:trPr>
          <w:trHeight w:val="206"/>
        </w:trPr>
        <w:tc>
          <w:tcPr>
            <w:tcW w:w="4651" w:type="dxa"/>
            <w:tcBorders>
              <w:top w:val="single" w:sz="6" w:space="0" w:color="auto"/>
              <w:left w:val="single" w:sz="12" w:space="0" w:color="auto"/>
              <w:bottom w:val="single" w:sz="6" w:space="0" w:color="auto"/>
              <w:right w:val="single" w:sz="6" w:space="0" w:color="auto"/>
            </w:tcBorders>
            <w:hideMark/>
          </w:tcPr>
          <w:p w:rsidR="00D93664" w:rsidRPr="00214B3E" w:rsidRDefault="00D93664" w:rsidP="00795DA1">
            <w:pPr>
              <w:rPr>
                <w:rFonts w:ascii="Calibri" w:hAnsi="Calibri" w:cs="Arial"/>
                <w:b/>
                <w:sz w:val="22"/>
                <w:szCs w:val="22"/>
              </w:rPr>
            </w:pPr>
            <w:r w:rsidRPr="00214B3E">
              <w:rPr>
                <w:rFonts w:ascii="Calibri" w:hAnsi="Calibri" w:cs="Arial"/>
                <w:b/>
                <w:sz w:val="22"/>
                <w:szCs w:val="22"/>
              </w:rPr>
              <w:t>Taxe Foncière (Non Bâti)</w:t>
            </w:r>
          </w:p>
        </w:tc>
        <w:tc>
          <w:tcPr>
            <w:tcW w:w="2126" w:type="dxa"/>
            <w:tcBorders>
              <w:top w:val="single" w:sz="6" w:space="0" w:color="auto"/>
              <w:left w:val="single" w:sz="6" w:space="0" w:color="auto"/>
              <w:bottom w:val="single" w:sz="6" w:space="0" w:color="auto"/>
              <w:right w:val="single" w:sz="6" w:space="0" w:color="auto"/>
            </w:tcBorders>
          </w:tcPr>
          <w:p w:rsidR="00D93664" w:rsidRPr="00214B3E" w:rsidRDefault="00D93664" w:rsidP="00795DA1">
            <w:pPr>
              <w:jc w:val="right"/>
              <w:rPr>
                <w:rFonts w:ascii="Calibri" w:hAnsi="Calibri" w:cs="Arial"/>
                <w:b/>
                <w:sz w:val="22"/>
                <w:szCs w:val="22"/>
              </w:rPr>
            </w:pPr>
            <w:r w:rsidRPr="00214B3E">
              <w:rPr>
                <w:rFonts w:ascii="Calibri" w:hAnsi="Calibri" w:cs="Arial"/>
                <w:b/>
                <w:sz w:val="22"/>
                <w:szCs w:val="22"/>
              </w:rPr>
              <w:t>60 800 €</w:t>
            </w:r>
          </w:p>
        </w:tc>
        <w:tc>
          <w:tcPr>
            <w:tcW w:w="992" w:type="dxa"/>
            <w:tcBorders>
              <w:top w:val="single" w:sz="6" w:space="0" w:color="auto"/>
              <w:left w:val="single" w:sz="6" w:space="0" w:color="auto"/>
              <w:bottom w:val="single" w:sz="6" w:space="0" w:color="auto"/>
              <w:right w:val="single" w:sz="6" w:space="0" w:color="auto"/>
            </w:tcBorders>
          </w:tcPr>
          <w:p w:rsidR="00D93664" w:rsidRPr="00214B3E" w:rsidRDefault="00D93664" w:rsidP="00795DA1">
            <w:pPr>
              <w:jc w:val="center"/>
              <w:rPr>
                <w:rFonts w:ascii="Calibri" w:hAnsi="Calibri" w:cs="Arial"/>
                <w:b/>
                <w:sz w:val="22"/>
                <w:szCs w:val="22"/>
              </w:rPr>
            </w:pPr>
            <w:r>
              <w:rPr>
                <w:rFonts w:ascii="Calibri" w:hAnsi="Calibri" w:cs="Arial"/>
                <w:b/>
                <w:sz w:val="22"/>
                <w:szCs w:val="22"/>
              </w:rPr>
              <w:t>47,06</w:t>
            </w:r>
            <w:r w:rsidRPr="00214B3E">
              <w:rPr>
                <w:rFonts w:ascii="Calibri" w:hAnsi="Calibri" w:cs="Arial"/>
                <w:b/>
                <w:sz w:val="22"/>
                <w:szCs w:val="22"/>
              </w:rPr>
              <w:t>%</w:t>
            </w:r>
          </w:p>
        </w:tc>
        <w:tc>
          <w:tcPr>
            <w:tcW w:w="1855" w:type="dxa"/>
            <w:tcBorders>
              <w:top w:val="single" w:sz="6" w:space="0" w:color="auto"/>
              <w:left w:val="single" w:sz="6" w:space="0" w:color="auto"/>
              <w:bottom w:val="single" w:sz="6" w:space="0" w:color="auto"/>
              <w:right w:val="single" w:sz="12" w:space="0" w:color="auto"/>
            </w:tcBorders>
          </w:tcPr>
          <w:p w:rsidR="00D93664" w:rsidRPr="00214B3E" w:rsidRDefault="00D93664" w:rsidP="00795DA1">
            <w:pPr>
              <w:jc w:val="right"/>
              <w:rPr>
                <w:rFonts w:ascii="Calibri" w:hAnsi="Calibri" w:cs="Arial"/>
                <w:b/>
                <w:sz w:val="22"/>
                <w:szCs w:val="22"/>
              </w:rPr>
            </w:pPr>
            <w:r>
              <w:rPr>
                <w:rFonts w:ascii="Calibri" w:hAnsi="Calibri" w:cs="Arial"/>
                <w:b/>
                <w:sz w:val="22"/>
                <w:szCs w:val="22"/>
              </w:rPr>
              <w:t xml:space="preserve">28 614 </w:t>
            </w:r>
            <w:r w:rsidRPr="00214B3E">
              <w:rPr>
                <w:rFonts w:ascii="Calibri" w:hAnsi="Calibri" w:cs="Arial"/>
                <w:b/>
                <w:sz w:val="22"/>
                <w:szCs w:val="22"/>
              </w:rPr>
              <w:t>€</w:t>
            </w:r>
          </w:p>
        </w:tc>
      </w:tr>
      <w:tr w:rsidR="00D93664" w:rsidRPr="00214B3E" w:rsidTr="00795DA1">
        <w:trPr>
          <w:trHeight w:val="238"/>
        </w:trPr>
        <w:tc>
          <w:tcPr>
            <w:tcW w:w="4651" w:type="dxa"/>
            <w:tcBorders>
              <w:top w:val="single" w:sz="6" w:space="0" w:color="auto"/>
              <w:left w:val="single" w:sz="12" w:space="0" w:color="auto"/>
              <w:bottom w:val="single" w:sz="12" w:space="0" w:color="auto"/>
              <w:right w:val="single" w:sz="6" w:space="0" w:color="auto"/>
            </w:tcBorders>
          </w:tcPr>
          <w:p w:rsidR="00D93664" w:rsidRPr="00214B3E" w:rsidRDefault="00D93664" w:rsidP="00795DA1">
            <w:pPr>
              <w:rPr>
                <w:rFonts w:ascii="Calibri" w:hAnsi="Calibri" w:cs="Arial"/>
                <w:b/>
                <w:sz w:val="22"/>
                <w:szCs w:val="22"/>
              </w:rPr>
            </w:pPr>
            <w:r w:rsidRPr="00214B3E">
              <w:rPr>
                <w:rFonts w:ascii="Calibri" w:hAnsi="Calibri" w:cs="Arial"/>
                <w:b/>
                <w:sz w:val="22"/>
                <w:szCs w:val="22"/>
              </w:rPr>
              <w:t>THRS (Taxe d’Habitation sur les Résidences Secondaires)</w:t>
            </w:r>
          </w:p>
        </w:tc>
        <w:tc>
          <w:tcPr>
            <w:tcW w:w="2126" w:type="dxa"/>
            <w:tcBorders>
              <w:top w:val="single" w:sz="6" w:space="0" w:color="auto"/>
              <w:left w:val="single" w:sz="6" w:space="0" w:color="auto"/>
              <w:bottom w:val="single" w:sz="12" w:space="0" w:color="auto"/>
              <w:right w:val="single" w:sz="6" w:space="0" w:color="auto"/>
            </w:tcBorders>
          </w:tcPr>
          <w:p w:rsidR="00D93664" w:rsidRPr="00214B3E" w:rsidRDefault="00D93664" w:rsidP="00795DA1">
            <w:pPr>
              <w:rPr>
                <w:rFonts w:ascii="Calibri" w:hAnsi="Calibri" w:cs="Arial"/>
                <w:b/>
                <w:sz w:val="22"/>
                <w:szCs w:val="22"/>
              </w:rPr>
            </w:pPr>
          </w:p>
        </w:tc>
        <w:tc>
          <w:tcPr>
            <w:tcW w:w="992" w:type="dxa"/>
            <w:tcBorders>
              <w:top w:val="single" w:sz="6" w:space="0" w:color="auto"/>
              <w:left w:val="single" w:sz="6" w:space="0" w:color="auto"/>
              <w:bottom w:val="single" w:sz="12" w:space="0" w:color="auto"/>
              <w:right w:val="single" w:sz="6" w:space="0" w:color="auto"/>
            </w:tcBorders>
          </w:tcPr>
          <w:p w:rsidR="00D93664" w:rsidRPr="00214B3E" w:rsidRDefault="00D93664" w:rsidP="00795DA1">
            <w:pPr>
              <w:rPr>
                <w:rFonts w:ascii="Calibri" w:hAnsi="Calibri" w:cs="Arial"/>
                <w:b/>
                <w:sz w:val="22"/>
                <w:szCs w:val="22"/>
              </w:rPr>
            </w:pPr>
          </w:p>
        </w:tc>
        <w:tc>
          <w:tcPr>
            <w:tcW w:w="1855" w:type="dxa"/>
            <w:tcBorders>
              <w:top w:val="single" w:sz="6" w:space="0" w:color="auto"/>
              <w:left w:val="single" w:sz="6" w:space="0" w:color="auto"/>
              <w:bottom w:val="single" w:sz="12" w:space="0" w:color="auto"/>
              <w:right w:val="single" w:sz="12" w:space="0" w:color="auto"/>
            </w:tcBorders>
          </w:tcPr>
          <w:p w:rsidR="00D93664" w:rsidRPr="00214B3E" w:rsidRDefault="00D93664" w:rsidP="00795DA1">
            <w:pPr>
              <w:ind w:left="720"/>
              <w:jc w:val="right"/>
              <w:rPr>
                <w:rFonts w:ascii="Calibri" w:hAnsi="Calibri" w:cs="Arial"/>
                <w:b/>
                <w:bCs/>
                <w:sz w:val="22"/>
                <w:szCs w:val="22"/>
              </w:rPr>
            </w:pPr>
            <w:r w:rsidRPr="00214B3E">
              <w:rPr>
                <w:rFonts w:ascii="Calibri" w:hAnsi="Calibri" w:cs="Arial"/>
                <w:b/>
                <w:bCs/>
                <w:sz w:val="22"/>
                <w:szCs w:val="22"/>
              </w:rPr>
              <w:t>1 601 €</w:t>
            </w:r>
          </w:p>
        </w:tc>
      </w:tr>
      <w:tr w:rsidR="00D93664" w:rsidRPr="00214B3E" w:rsidTr="00795DA1">
        <w:trPr>
          <w:trHeight w:val="241"/>
        </w:trPr>
        <w:tc>
          <w:tcPr>
            <w:tcW w:w="4651" w:type="dxa"/>
            <w:tcBorders>
              <w:top w:val="single" w:sz="6" w:space="0" w:color="auto"/>
              <w:left w:val="single" w:sz="12" w:space="0" w:color="auto"/>
              <w:bottom w:val="single" w:sz="12" w:space="0" w:color="auto"/>
              <w:right w:val="single" w:sz="6" w:space="0" w:color="auto"/>
            </w:tcBorders>
          </w:tcPr>
          <w:p w:rsidR="00D93664" w:rsidRPr="00214B3E" w:rsidRDefault="00D93664" w:rsidP="00795DA1">
            <w:pPr>
              <w:rPr>
                <w:rFonts w:ascii="Calibri" w:hAnsi="Calibri" w:cs="Arial"/>
                <w:b/>
                <w:sz w:val="22"/>
                <w:szCs w:val="22"/>
              </w:rPr>
            </w:pPr>
            <w:r w:rsidRPr="00214B3E">
              <w:rPr>
                <w:rFonts w:ascii="Calibri" w:hAnsi="Calibri" w:cs="Arial"/>
                <w:b/>
                <w:sz w:val="22"/>
                <w:szCs w:val="22"/>
              </w:rPr>
              <w:t>Contribution Coefficient Correcteur (</w:t>
            </w:r>
            <w:proofErr w:type="spellStart"/>
            <w:r w:rsidRPr="00214B3E">
              <w:rPr>
                <w:rFonts w:ascii="Calibri" w:hAnsi="Calibri" w:cs="Arial"/>
                <w:b/>
                <w:sz w:val="22"/>
                <w:szCs w:val="22"/>
              </w:rPr>
              <w:t>sur-compensation</w:t>
            </w:r>
            <w:proofErr w:type="spellEnd"/>
            <w:r w:rsidRPr="00214B3E">
              <w:rPr>
                <w:rFonts w:ascii="Calibri" w:hAnsi="Calibri" w:cs="Arial"/>
                <w:b/>
                <w:sz w:val="22"/>
                <w:szCs w:val="22"/>
              </w:rPr>
              <w:t>)</w:t>
            </w:r>
          </w:p>
        </w:tc>
        <w:tc>
          <w:tcPr>
            <w:tcW w:w="2126" w:type="dxa"/>
            <w:tcBorders>
              <w:top w:val="single" w:sz="6" w:space="0" w:color="auto"/>
              <w:left w:val="single" w:sz="6" w:space="0" w:color="auto"/>
              <w:bottom w:val="single" w:sz="12" w:space="0" w:color="auto"/>
              <w:right w:val="single" w:sz="6" w:space="0" w:color="auto"/>
            </w:tcBorders>
          </w:tcPr>
          <w:p w:rsidR="00D93664" w:rsidRPr="00214B3E" w:rsidRDefault="00D93664" w:rsidP="00795DA1">
            <w:pPr>
              <w:rPr>
                <w:rFonts w:ascii="Calibri" w:hAnsi="Calibri" w:cs="Arial"/>
                <w:b/>
                <w:sz w:val="22"/>
                <w:szCs w:val="22"/>
              </w:rPr>
            </w:pPr>
          </w:p>
        </w:tc>
        <w:tc>
          <w:tcPr>
            <w:tcW w:w="992" w:type="dxa"/>
            <w:tcBorders>
              <w:top w:val="single" w:sz="6" w:space="0" w:color="auto"/>
              <w:left w:val="single" w:sz="6" w:space="0" w:color="auto"/>
              <w:bottom w:val="single" w:sz="12" w:space="0" w:color="auto"/>
              <w:right w:val="single" w:sz="6" w:space="0" w:color="auto"/>
            </w:tcBorders>
          </w:tcPr>
          <w:p w:rsidR="00D93664" w:rsidRPr="00214B3E" w:rsidRDefault="00D93664" w:rsidP="00795DA1">
            <w:pPr>
              <w:rPr>
                <w:rFonts w:ascii="Calibri" w:hAnsi="Calibri" w:cs="Arial"/>
                <w:b/>
                <w:sz w:val="22"/>
                <w:szCs w:val="22"/>
              </w:rPr>
            </w:pPr>
          </w:p>
        </w:tc>
        <w:tc>
          <w:tcPr>
            <w:tcW w:w="1855" w:type="dxa"/>
            <w:tcBorders>
              <w:top w:val="single" w:sz="6" w:space="0" w:color="auto"/>
              <w:left w:val="single" w:sz="6" w:space="0" w:color="auto"/>
              <w:bottom w:val="single" w:sz="12" w:space="0" w:color="auto"/>
              <w:right w:val="single" w:sz="12" w:space="0" w:color="auto"/>
            </w:tcBorders>
          </w:tcPr>
          <w:p w:rsidR="00D93664" w:rsidRPr="00214B3E" w:rsidRDefault="00D93664" w:rsidP="00D93664">
            <w:pPr>
              <w:numPr>
                <w:ilvl w:val="0"/>
                <w:numId w:val="20"/>
              </w:numPr>
              <w:jc w:val="right"/>
              <w:rPr>
                <w:rFonts w:ascii="Calibri" w:hAnsi="Calibri" w:cs="Arial"/>
                <w:b/>
                <w:bCs/>
                <w:sz w:val="22"/>
                <w:szCs w:val="22"/>
              </w:rPr>
            </w:pPr>
            <w:r w:rsidRPr="00214B3E">
              <w:rPr>
                <w:rFonts w:ascii="Calibri" w:hAnsi="Calibri" w:cs="Arial"/>
                <w:b/>
                <w:bCs/>
                <w:sz w:val="22"/>
                <w:szCs w:val="22"/>
              </w:rPr>
              <w:t>20 487 €</w:t>
            </w:r>
          </w:p>
        </w:tc>
      </w:tr>
      <w:tr w:rsidR="00D93664" w:rsidRPr="00214B3E" w:rsidTr="00795DA1">
        <w:trPr>
          <w:trHeight w:val="280"/>
        </w:trPr>
        <w:tc>
          <w:tcPr>
            <w:tcW w:w="4651" w:type="dxa"/>
            <w:tcBorders>
              <w:top w:val="single" w:sz="6" w:space="0" w:color="auto"/>
              <w:left w:val="single" w:sz="12" w:space="0" w:color="auto"/>
              <w:bottom w:val="single" w:sz="12" w:space="0" w:color="auto"/>
              <w:right w:val="single" w:sz="6" w:space="0" w:color="auto"/>
            </w:tcBorders>
          </w:tcPr>
          <w:p w:rsidR="00D93664" w:rsidRPr="00214B3E" w:rsidRDefault="00D93664" w:rsidP="00795DA1">
            <w:pPr>
              <w:rPr>
                <w:rFonts w:ascii="Calibri" w:hAnsi="Calibri" w:cs="Arial"/>
                <w:b/>
                <w:sz w:val="22"/>
                <w:szCs w:val="22"/>
              </w:rPr>
            </w:pPr>
            <w:r w:rsidRPr="00214B3E">
              <w:rPr>
                <w:rFonts w:ascii="Calibri" w:hAnsi="Calibri" w:cs="Arial"/>
                <w:b/>
                <w:sz w:val="22"/>
                <w:szCs w:val="22"/>
              </w:rPr>
              <w:t>Produit Attendu</w:t>
            </w:r>
          </w:p>
        </w:tc>
        <w:tc>
          <w:tcPr>
            <w:tcW w:w="2126" w:type="dxa"/>
            <w:tcBorders>
              <w:top w:val="single" w:sz="6" w:space="0" w:color="auto"/>
              <w:left w:val="single" w:sz="6" w:space="0" w:color="auto"/>
              <w:bottom w:val="single" w:sz="12" w:space="0" w:color="auto"/>
              <w:right w:val="single" w:sz="6" w:space="0" w:color="auto"/>
            </w:tcBorders>
          </w:tcPr>
          <w:p w:rsidR="00D93664" w:rsidRPr="00214B3E" w:rsidRDefault="00D93664" w:rsidP="00795DA1">
            <w:pPr>
              <w:rPr>
                <w:rFonts w:ascii="Calibri" w:hAnsi="Calibri" w:cs="Arial"/>
                <w:b/>
                <w:sz w:val="22"/>
                <w:szCs w:val="22"/>
              </w:rPr>
            </w:pPr>
          </w:p>
        </w:tc>
        <w:tc>
          <w:tcPr>
            <w:tcW w:w="992" w:type="dxa"/>
            <w:tcBorders>
              <w:top w:val="single" w:sz="6" w:space="0" w:color="auto"/>
              <w:left w:val="single" w:sz="6" w:space="0" w:color="auto"/>
              <w:bottom w:val="single" w:sz="12" w:space="0" w:color="auto"/>
              <w:right w:val="single" w:sz="6" w:space="0" w:color="auto"/>
            </w:tcBorders>
          </w:tcPr>
          <w:p w:rsidR="00D93664" w:rsidRPr="00214B3E" w:rsidRDefault="00D93664" w:rsidP="00795DA1">
            <w:pPr>
              <w:rPr>
                <w:rFonts w:ascii="Calibri" w:hAnsi="Calibri" w:cs="Arial"/>
                <w:b/>
                <w:sz w:val="22"/>
                <w:szCs w:val="22"/>
              </w:rPr>
            </w:pPr>
          </w:p>
        </w:tc>
        <w:tc>
          <w:tcPr>
            <w:tcW w:w="1855" w:type="dxa"/>
            <w:tcBorders>
              <w:top w:val="single" w:sz="6" w:space="0" w:color="auto"/>
              <w:left w:val="single" w:sz="6" w:space="0" w:color="auto"/>
              <w:bottom w:val="single" w:sz="12" w:space="0" w:color="auto"/>
              <w:right w:val="single" w:sz="12" w:space="0" w:color="auto"/>
            </w:tcBorders>
          </w:tcPr>
          <w:p w:rsidR="00D93664" w:rsidRPr="00214B3E" w:rsidRDefault="00D93664" w:rsidP="00795DA1">
            <w:pPr>
              <w:jc w:val="right"/>
              <w:rPr>
                <w:rFonts w:ascii="Calibri" w:hAnsi="Calibri" w:cs="Arial"/>
                <w:b/>
                <w:bCs/>
                <w:sz w:val="22"/>
                <w:szCs w:val="22"/>
              </w:rPr>
            </w:pPr>
            <w:r>
              <w:rPr>
                <w:rFonts w:ascii="Calibri" w:hAnsi="Calibri" w:cs="Arial"/>
                <w:b/>
                <w:bCs/>
                <w:sz w:val="22"/>
                <w:szCs w:val="22"/>
              </w:rPr>
              <w:t xml:space="preserve">170 716 </w:t>
            </w:r>
            <w:r w:rsidRPr="00214B3E">
              <w:rPr>
                <w:rFonts w:ascii="Calibri" w:hAnsi="Calibri" w:cs="Arial"/>
                <w:b/>
                <w:bCs/>
                <w:sz w:val="22"/>
                <w:szCs w:val="22"/>
              </w:rPr>
              <w:t>€</w:t>
            </w:r>
          </w:p>
        </w:tc>
      </w:tr>
    </w:tbl>
    <w:p w:rsidR="00D93664" w:rsidRPr="00214B3E" w:rsidRDefault="00D93664" w:rsidP="00D93664">
      <w:pPr>
        <w:jc w:val="both"/>
        <w:rPr>
          <w:rFonts w:ascii="Calibri" w:hAnsi="Calibri" w:cs="Arial"/>
          <w:sz w:val="22"/>
          <w:szCs w:val="22"/>
        </w:rPr>
      </w:pPr>
    </w:p>
    <w:p w:rsidR="00D93664" w:rsidRPr="00214B3E" w:rsidRDefault="00D93664" w:rsidP="00D93664">
      <w:pPr>
        <w:numPr>
          <w:ilvl w:val="0"/>
          <w:numId w:val="19"/>
        </w:numPr>
        <w:jc w:val="both"/>
        <w:rPr>
          <w:rFonts w:ascii="Calibri" w:hAnsi="Calibri" w:cs="Arial"/>
          <w:sz w:val="22"/>
          <w:szCs w:val="22"/>
        </w:rPr>
      </w:pPr>
      <w:r w:rsidRPr="00214B3E">
        <w:rPr>
          <w:rFonts w:ascii="Calibri" w:hAnsi="Calibri" w:cs="Arial"/>
          <w:b/>
          <w:sz w:val="22"/>
          <w:szCs w:val="22"/>
        </w:rPr>
        <w:t>Précise</w:t>
      </w:r>
      <w:r w:rsidRPr="00214B3E">
        <w:rPr>
          <w:rFonts w:ascii="Calibri" w:hAnsi="Calibri" w:cs="Arial"/>
          <w:sz w:val="22"/>
          <w:szCs w:val="22"/>
        </w:rPr>
        <w:t xml:space="preserve"> que la compensation au titre des exonérations des taxes foncières est de 3 107,00 € pour 2022</w:t>
      </w:r>
    </w:p>
    <w:p w:rsidR="002E28C1" w:rsidRDefault="002E28C1" w:rsidP="009009D1">
      <w:pPr>
        <w:tabs>
          <w:tab w:val="left" w:pos="6238"/>
        </w:tabs>
        <w:jc w:val="both"/>
        <w:rPr>
          <w:rFonts w:asciiTheme="minorHAnsi" w:hAnsiTheme="minorHAnsi" w:cstheme="minorHAnsi"/>
          <w:sz w:val="22"/>
          <w:szCs w:val="22"/>
        </w:rPr>
      </w:pPr>
    </w:p>
    <w:p w:rsidR="00FE4DDD" w:rsidRPr="00CD7DBD" w:rsidRDefault="00FE4DDD" w:rsidP="009009D1">
      <w:pPr>
        <w:tabs>
          <w:tab w:val="left" w:pos="6238"/>
        </w:tabs>
        <w:jc w:val="both"/>
        <w:rPr>
          <w:rFonts w:asciiTheme="minorHAnsi" w:hAnsiTheme="minorHAnsi" w:cstheme="minorHAnsi"/>
          <w:sz w:val="22"/>
          <w:szCs w:val="22"/>
        </w:rPr>
      </w:pPr>
    </w:p>
    <w:p w:rsidR="00B976D5" w:rsidRPr="00CD7DBD" w:rsidRDefault="00B976D5" w:rsidP="00573E1C">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sidR="00A24BE3">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0C2951">
        <w:rPr>
          <w:rFonts w:asciiTheme="minorHAnsi" w:hAnsiTheme="minorHAnsi" w:cstheme="minorHAnsi"/>
          <w:b/>
          <w:sz w:val="22"/>
          <w:szCs w:val="22"/>
          <w:u w:val="single"/>
        </w:rPr>
        <w:t>12</w:t>
      </w:r>
      <w:r w:rsidRPr="00CD7DBD">
        <w:rPr>
          <w:rFonts w:asciiTheme="minorHAnsi" w:hAnsiTheme="minorHAnsi" w:cstheme="minorHAnsi"/>
          <w:b/>
          <w:sz w:val="22"/>
          <w:szCs w:val="22"/>
          <w:u w:val="single"/>
        </w:rPr>
        <w:t xml:space="preserve"> : </w:t>
      </w:r>
      <w:r w:rsidR="00A24BE3">
        <w:rPr>
          <w:rFonts w:ascii="Calibri" w:hAnsi="Calibri" w:cs="Arial"/>
          <w:b/>
          <w:sz w:val="22"/>
          <w:szCs w:val="22"/>
          <w:u w:val="single"/>
        </w:rPr>
        <w:t xml:space="preserve">CAESE (Communauté d’Agglomération de l’Etampois Sud-Essonne) : </w:t>
      </w:r>
      <w:r w:rsidR="000C2951">
        <w:rPr>
          <w:rFonts w:ascii="Calibri" w:hAnsi="Calibri" w:cs="Arial"/>
          <w:b/>
          <w:sz w:val="22"/>
          <w:szCs w:val="22"/>
          <w:u w:val="single"/>
        </w:rPr>
        <w:t>Adhésion au Service Commun « Instruction du droit des sols » en faveur des communes</w:t>
      </w:r>
    </w:p>
    <w:p w:rsidR="00B976D5" w:rsidRPr="00CD7DBD" w:rsidRDefault="00B976D5" w:rsidP="00B976D5">
      <w:pPr>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Le Maire expose au Conseil Municipal que la ville d’Étampes a mis fin au conventionnement qui la liait à 21 communes de notre territoire pour l’instruction de leurs dossiers d’autorisation d’urbanisme.</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Cette décision, avec un délai de mise en œuvre très court, place un certain nombre de communes dans une difficulté certaine et leur impose de rechercher une solution rapidement.</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A l’issue d’une réunion des Maires et de leurs réponses à plusieurs questionnaires, et face à cet arrêt imminent de service, la Communauté d’Agglomération de l’Etampois Sud-Essonne a étudié les modalités opérationnelles de mise en place d’un service commun en la matière.</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 xml:space="preserve">L'article L.5211-4-2 du CGCT (Code Général des Collectivités Territoriales) prévoit qu'en dehors de toute compétence transférée, un EPCI à fiscalité propre et une ou plusieurs de </w:t>
      </w:r>
      <w:proofErr w:type="gramStart"/>
      <w:r w:rsidRPr="00E03558">
        <w:rPr>
          <w:rFonts w:asciiTheme="minorHAnsi" w:hAnsiTheme="minorHAnsi" w:cstheme="minorHAnsi"/>
          <w:sz w:val="22"/>
          <w:szCs w:val="22"/>
        </w:rPr>
        <w:t>ses communes membres</w:t>
      </w:r>
      <w:proofErr w:type="gramEnd"/>
      <w:r w:rsidRPr="00E03558">
        <w:rPr>
          <w:rFonts w:asciiTheme="minorHAnsi" w:hAnsiTheme="minorHAnsi" w:cstheme="minorHAnsi"/>
          <w:sz w:val="22"/>
          <w:szCs w:val="22"/>
        </w:rPr>
        <w:t xml:space="preserve"> peuvent se doter de services communs. Des communes et leur EPCI (Etablissement Public d Coopération intercommunale) peuvent donc s'entendre pour organiser une mise en commun de services, sans que les montants associés à la mutualisation soient considérés comme un transfert de charge, même partiel. Lorsque ce service commun est porté par un EPCI à Fiscalité Propre Unique (FPU), il est possible de financer cette mutualisation de services soit par le biais de la refacturation, soit par imputation directe sur le montant de l'attribution de compensation déjà versée par cet EPCI. Dès lors, en l’absence de transfert de charges entre l'EPCI et les communes concernées par le service commun, il n'y a pas lieu pour la CLECT (Commission Locale d’Evaluation des Charges Transférées) d'évaluer le coût du service mutualisé. L'évaluation du coût de la mise en commun est basée sur le coût réel annuel de la prestation exercée par l’EPCI pour le compte d'une ou plusieurs communes. L’évaluation du coût des charges transférées dans le cadre des attributions de compensation ne prend pas en compte le coût du service mutualisé. Avec le dispositif de mutualisation, le législateur a entendu simplifier le paiement des prestations réalisées pour le compte </w:t>
      </w:r>
      <w:proofErr w:type="gramStart"/>
      <w:r w:rsidRPr="00E03558">
        <w:rPr>
          <w:rFonts w:asciiTheme="minorHAnsi" w:hAnsiTheme="minorHAnsi" w:cstheme="minorHAnsi"/>
          <w:sz w:val="22"/>
          <w:szCs w:val="22"/>
        </w:rPr>
        <w:t>des communes membres</w:t>
      </w:r>
      <w:proofErr w:type="gramEnd"/>
      <w:r w:rsidRPr="00E03558">
        <w:rPr>
          <w:rFonts w:asciiTheme="minorHAnsi" w:hAnsiTheme="minorHAnsi" w:cstheme="minorHAnsi"/>
          <w:sz w:val="22"/>
          <w:szCs w:val="22"/>
        </w:rPr>
        <w:t xml:space="preserve">. Il est donc possible d’imputer le coût de ce service mutualisé sur les attributions de compensation à la condition qu’il y ait accord entre l’EPCI et les communes sur ce mode de </w:t>
      </w:r>
      <w:r w:rsidRPr="00E03558">
        <w:rPr>
          <w:rFonts w:asciiTheme="minorHAnsi" w:hAnsiTheme="minorHAnsi" w:cstheme="minorHAnsi"/>
          <w:sz w:val="22"/>
          <w:szCs w:val="22"/>
        </w:rPr>
        <w:lastRenderedPageBreak/>
        <w:t xml:space="preserve">financement. Il s'agit par-là de réduire le nombre de flux financiers entre collectivités en opérant une réfaction sur ce que verse déjà la communauté à </w:t>
      </w:r>
      <w:proofErr w:type="gramStart"/>
      <w:r w:rsidRPr="00E03558">
        <w:rPr>
          <w:rFonts w:asciiTheme="minorHAnsi" w:hAnsiTheme="minorHAnsi" w:cstheme="minorHAnsi"/>
          <w:sz w:val="22"/>
          <w:szCs w:val="22"/>
        </w:rPr>
        <w:t>ses communes membres</w:t>
      </w:r>
      <w:proofErr w:type="gramEnd"/>
      <w:r w:rsidRPr="00E03558">
        <w:rPr>
          <w:rFonts w:asciiTheme="minorHAnsi" w:hAnsiTheme="minorHAnsi" w:cstheme="minorHAnsi"/>
          <w:sz w:val="22"/>
          <w:szCs w:val="22"/>
        </w:rPr>
        <w:t>.</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A ce jour, 20 communes ont fait part de leur intérêt pour ce service commun. Le périmètre représente 8 526 habitants. Les besoins exprimés ne nécessitant le recrutement que d’un seul agent, la Commune d’Angerville serait favorable à un partenariat avec l’Agglomération par voie conventionnelle, pour pallier les périodes d’absence imprévue de l’agent intercommunal. Ce point spécifique interviendra lors d’un prochain Conseil Communautaire.</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Le coût de fonctionnement de ce service commun a été évalué à un montant global de 74 230,00 €, se décomposant comme suit :</w:t>
      </w:r>
    </w:p>
    <w:p w:rsidR="00E03558" w:rsidRPr="00E03558" w:rsidRDefault="00E03558" w:rsidP="00E03558">
      <w:pPr>
        <w:jc w:val="both"/>
        <w:rPr>
          <w:rFonts w:asciiTheme="minorHAnsi" w:hAnsiTheme="minorHAnsi" w:cstheme="minorHAnsi"/>
          <w:sz w:val="22"/>
          <w:szCs w:val="22"/>
        </w:rPr>
      </w:pPr>
    </w:p>
    <w:tbl>
      <w:tblPr>
        <w:tblW w:w="9142" w:type="dxa"/>
        <w:tblCellMar>
          <w:top w:w="15" w:type="dxa"/>
          <w:left w:w="70" w:type="dxa"/>
          <w:bottom w:w="15" w:type="dxa"/>
          <w:right w:w="70" w:type="dxa"/>
        </w:tblCellMar>
        <w:tblLook w:val="04A0" w:firstRow="1" w:lastRow="0" w:firstColumn="1" w:lastColumn="0" w:noHBand="0" w:noVBand="1"/>
      </w:tblPr>
      <w:tblGrid>
        <w:gridCol w:w="6591"/>
        <w:gridCol w:w="2551"/>
      </w:tblGrid>
      <w:tr w:rsidR="00E03558" w:rsidRPr="00E03558" w:rsidTr="00B22398">
        <w:trPr>
          <w:trHeight w:val="204"/>
        </w:trPr>
        <w:tc>
          <w:tcPr>
            <w:tcW w:w="6591" w:type="dxa"/>
            <w:tcBorders>
              <w:top w:val="nil"/>
              <w:left w:val="nil"/>
              <w:bottom w:val="nil"/>
              <w:right w:val="nil"/>
            </w:tcBorders>
            <w:noWrap/>
            <w:hideMark/>
          </w:tcPr>
          <w:p w:rsidR="00E03558" w:rsidRPr="00E03558" w:rsidRDefault="00E03558" w:rsidP="00E03558">
            <w:pPr>
              <w:jc w:val="both"/>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Détail coûts</w:t>
            </w:r>
          </w:p>
        </w:tc>
      </w:tr>
      <w:tr w:rsidR="00E03558" w:rsidRPr="00E03558" w:rsidTr="00B22398">
        <w:trPr>
          <w:trHeight w:val="165"/>
        </w:trPr>
        <w:tc>
          <w:tcPr>
            <w:tcW w:w="659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Maintenance logiciel</w:t>
            </w:r>
          </w:p>
        </w:tc>
        <w:tc>
          <w:tcPr>
            <w:tcW w:w="255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8 000,00 €</w:t>
            </w:r>
          </w:p>
        </w:tc>
      </w:tr>
      <w:tr w:rsidR="00E03558" w:rsidRPr="00E03558" w:rsidTr="00B22398">
        <w:trPr>
          <w:trHeight w:val="142"/>
        </w:trPr>
        <w:tc>
          <w:tcPr>
            <w:tcW w:w="659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Hébergement</w:t>
            </w:r>
          </w:p>
        </w:tc>
        <w:tc>
          <w:tcPr>
            <w:tcW w:w="255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7 000,00 €</w:t>
            </w:r>
          </w:p>
        </w:tc>
      </w:tr>
      <w:tr w:rsidR="00E03558" w:rsidRPr="00E03558" w:rsidTr="00B22398">
        <w:trPr>
          <w:trHeight w:val="285"/>
        </w:trPr>
        <w:tc>
          <w:tcPr>
            <w:tcW w:w="659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Maintenance GNAU (Guichet National des Autorisations d’Urbanisme)</w:t>
            </w:r>
          </w:p>
        </w:tc>
        <w:tc>
          <w:tcPr>
            <w:tcW w:w="255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11 712,00 €</w:t>
            </w:r>
          </w:p>
        </w:tc>
      </w:tr>
      <w:tr w:rsidR="00E03558" w:rsidRPr="00E03558" w:rsidTr="00B22398">
        <w:trPr>
          <w:trHeight w:val="236"/>
        </w:trPr>
        <w:tc>
          <w:tcPr>
            <w:tcW w:w="659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Licence PLAT'AU (télétransmission actes)</w:t>
            </w:r>
          </w:p>
        </w:tc>
        <w:tc>
          <w:tcPr>
            <w:tcW w:w="255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10 518,00 €</w:t>
            </w:r>
          </w:p>
        </w:tc>
      </w:tr>
      <w:tr w:rsidR="00E03558" w:rsidRPr="00E03558" w:rsidTr="00B22398">
        <w:trPr>
          <w:trHeight w:val="197"/>
        </w:trPr>
        <w:tc>
          <w:tcPr>
            <w:tcW w:w="659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Charges de personnel (1ETP)</w:t>
            </w:r>
          </w:p>
        </w:tc>
        <w:tc>
          <w:tcPr>
            <w:tcW w:w="255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37 000,00 €</w:t>
            </w:r>
          </w:p>
        </w:tc>
      </w:tr>
      <w:tr w:rsidR="00E03558" w:rsidRPr="00E03558" w:rsidTr="00B22398">
        <w:trPr>
          <w:trHeight w:val="174"/>
        </w:trPr>
        <w:tc>
          <w:tcPr>
            <w:tcW w:w="659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TOTAL</w:t>
            </w:r>
          </w:p>
        </w:tc>
        <w:tc>
          <w:tcPr>
            <w:tcW w:w="2551" w:type="dxa"/>
            <w:tcBorders>
              <w:top w:val="single" w:sz="4" w:space="0" w:color="auto"/>
              <w:left w:val="single" w:sz="4" w:space="0" w:color="auto"/>
              <w:bottom w:val="single" w:sz="4" w:space="0" w:color="auto"/>
              <w:right w:val="single" w:sz="4" w:space="0" w:color="auto"/>
            </w:tcBorders>
            <w:noWrap/>
            <w:hideMark/>
          </w:tcPr>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74 230, 00 €</w:t>
            </w:r>
          </w:p>
        </w:tc>
      </w:tr>
    </w:tbl>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Au titre du Pacte Financier et Fiscal de Solidarité, la CAESE s’engage à prendre en charge 20% de ce coût de fonctionnement global, soit un coût unitaire de fonctionnement (CUF) de 36,95 €/heure.</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Pour la viabilité du service commun, il est proposé aux communes de forfaitiser leur participation annuelle à hauteur de 5,70 € par habitants et que ce montant fasse l’objet d’une réfaction sur leur attribution de compensation, dès leur adhésion par délibération concordante ultérieure.</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Un bilan de la mise en œuvre de ce service commun sera réalisé annuellement afin d’ajuster le tarif du CUF pour l’année suivante.</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La convention-cadre ci-jointe précise l’ensemble des éléments relatifs aux prestations proposées, aux coûts de fonctionnement et à la durée d’engagement.</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jc w:val="both"/>
        <w:rPr>
          <w:rFonts w:asciiTheme="minorHAnsi" w:hAnsiTheme="minorHAnsi" w:cstheme="minorHAnsi"/>
          <w:sz w:val="22"/>
          <w:szCs w:val="22"/>
        </w:rPr>
      </w:pPr>
      <w:r w:rsidRPr="00E03558">
        <w:rPr>
          <w:rFonts w:asciiTheme="minorHAnsi" w:hAnsiTheme="minorHAnsi" w:cstheme="minorHAnsi"/>
          <w:sz w:val="22"/>
          <w:szCs w:val="22"/>
        </w:rPr>
        <w:t>Il est proposé au Conseil Municipal :</w:t>
      </w:r>
    </w:p>
    <w:p w:rsidR="00E03558" w:rsidRPr="00E03558" w:rsidRDefault="00E03558" w:rsidP="00E03558">
      <w:pPr>
        <w:jc w:val="both"/>
        <w:rPr>
          <w:rFonts w:asciiTheme="minorHAnsi" w:hAnsiTheme="minorHAnsi" w:cstheme="minorHAnsi"/>
          <w:sz w:val="22"/>
          <w:szCs w:val="22"/>
        </w:rPr>
      </w:pPr>
    </w:p>
    <w:p w:rsidR="00E03558" w:rsidRPr="00E03558" w:rsidRDefault="00E03558" w:rsidP="00E03558">
      <w:pPr>
        <w:pStyle w:val="Paragraphedeliste"/>
        <w:numPr>
          <w:ilvl w:val="0"/>
          <w:numId w:val="19"/>
        </w:numPr>
        <w:rPr>
          <w:rFonts w:asciiTheme="minorHAnsi" w:hAnsiTheme="minorHAnsi" w:cstheme="minorHAnsi"/>
          <w:sz w:val="22"/>
          <w:szCs w:val="22"/>
        </w:rPr>
      </w:pPr>
      <w:r w:rsidRPr="00E03558">
        <w:rPr>
          <w:rFonts w:asciiTheme="minorHAnsi" w:hAnsiTheme="minorHAnsi" w:cstheme="minorHAnsi"/>
          <w:sz w:val="22"/>
          <w:szCs w:val="22"/>
        </w:rPr>
        <w:t>D’APPROUVER la création d’un service commun d’instruction du droit des sols ;</w:t>
      </w:r>
    </w:p>
    <w:p w:rsidR="00E03558" w:rsidRPr="00E03558" w:rsidRDefault="00E03558" w:rsidP="00E03558">
      <w:pPr>
        <w:pStyle w:val="Paragraphedeliste"/>
        <w:numPr>
          <w:ilvl w:val="0"/>
          <w:numId w:val="19"/>
        </w:numPr>
        <w:rPr>
          <w:rFonts w:asciiTheme="minorHAnsi" w:hAnsiTheme="minorHAnsi" w:cstheme="minorHAnsi"/>
          <w:sz w:val="22"/>
          <w:szCs w:val="22"/>
        </w:rPr>
      </w:pPr>
      <w:r w:rsidRPr="00E03558">
        <w:rPr>
          <w:rFonts w:asciiTheme="minorHAnsi" w:hAnsiTheme="minorHAnsi" w:cstheme="minorHAnsi"/>
          <w:sz w:val="22"/>
          <w:szCs w:val="22"/>
        </w:rPr>
        <w:t>D’APPROUVER la convention-cadre d’adhésion au service d’instruction du droit des sols ;</w:t>
      </w:r>
    </w:p>
    <w:p w:rsidR="00E03558" w:rsidRPr="00E03558" w:rsidRDefault="00E03558" w:rsidP="00E03558">
      <w:pPr>
        <w:pStyle w:val="Paragraphedeliste"/>
        <w:numPr>
          <w:ilvl w:val="0"/>
          <w:numId w:val="19"/>
        </w:numPr>
        <w:rPr>
          <w:rFonts w:asciiTheme="minorHAnsi" w:hAnsiTheme="minorHAnsi" w:cstheme="minorHAnsi"/>
          <w:sz w:val="22"/>
          <w:szCs w:val="22"/>
        </w:rPr>
      </w:pPr>
      <w:r w:rsidRPr="00E03558">
        <w:rPr>
          <w:rFonts w:asciiTheme="minorHAnsi" w:hAnsiTheme="minorHAnsi" w:cstheme="minorHAnsi"/>
          <w:sz w:val="22"/>
          <w:szCs w:val="22"/>
        </w:rPr>
        <w:t>D’AUTORISER Monsieur le Maire à signer les conventions d’adhésion au service commun “Instruction du droit des sols” selon les fondements de l’article L.5211-4-2 du CGCT ;</w:t>
      </w:r>
    </w:p>
    <w:p w:rsidR="00E03558" w:rsidRPr="00E03558" w:rsidRDefault="00E03558" w:rsidP="00E03558">
      <w:pPr>
        <w:pStyle w:val="Paragraphedeliste"/>
        <w:numPr>
          <w:ilvl w:val="0"/>
          <w:numId w:val="19"/>
        </w:numPr>
        <w:rPr>
          <w:rFonts w:asciiTheme="minorHAnsi" w:hAnsiTheme="minorHAnsi" w:cstheme="minorHAnsi"/>
          <w:sz w:val="22"/>
          <w:szCs w:val="22"/>
        </w:rPr>
      </w:pPr>
      <w:r w:rsidRPr="00E03558">
        <w:rPr>
          <w:rFonts w:asciiTheme="minorHAnsi" w:hAnsiTheme="minorHAnsi" w:cstheme="minorHAnsi"/>
          <w:sz w:val="22"/>
          <w:szCs w:val="22"/>
        </w:rPr>
        <w:t>D’AUTORISER Monsieur le Maire à signer l’ensemble des actes afférents.</w:t>
      </w:r>
    </w:p>
    <w:p w:rsidR="00E03558" w:rsidRPr="00E03558" w:rsidRDefault="00E03558" w:rsidP="00E03558">
      <w:pPr>
        <w:jc w:val="both"/>
        <w:rPr>
          <w:rFonts w:asciiTheme="minorHAnsi" w:hAnsiTheme="minorHAnsi" w:cstheme="minorHAnsi"/>
          <w:sz w:val="22"/>
          <w:szCs w:val="22"/>
        </w:rPr>
      </w:pPr>
    </w:p>
    <w:p w:rsidR="00D93664" w:rsidRPr="00561746" w:rsidRDefault="00D93664" w:rsidP="00D93664">
      <w:pPr>
        <w:tabs>
          <w:tab w:val="left" w:pos="6238"/>
        </w:tabs>
        <w:jc w:val="both"/>
        <w:rPr>
          <w:rFonts w:ascii="Calibri" w:hAnsi="Calibri" w:cs="Calibri"/>
          <w:sz w:val="22"/>
          <w:szCs w:val="22"/>
        </w:rPr>
      </w:pPr>
      <w:r w:rsidRPr="00561746">
        <w:rPr>
          <w:rFonts w:ascii="Calibri" w:hAnsi="Calibri" w:cs="Calibri"/>
          <w:sz w:val="22"/>
          <w:szCs w:val="22"/>
        </w:rPr>
        <w:t>Le Conseil Municipal, sur le rapport de Monsieur le Maire,</w:t>
      </w:r>
    </w:p>
    <w:p w:rsidR="00D93664" w:rsidRPr="00561746" w:rsidRDefault="00D93664" w:rsidP="00D93664">
      <w:pPr>
        <w:tabs>
          <w:tab w:val="left" w:pos="6238"/>
        </w:tabs>
        <w:jc w:val="both"/>
        <w:rPr>
          <w:rFonts w:ascii="Calibri" w:hAnsi="Calibri" w:cs="Calibri"/>
          <w:sz w:val="22"/>
          <w:szCs w:val="22"/>
        </w:rPr>
      </w:pPr>
    </w:p>
    <w:p w:rsidR="00D93664" w:rsidRDefault="00D93664" w:rsidP="00D93664">
      <w:pPr>
        <w:tabs>
          <w:tab w:val="left" w:pos="6238"/>
        </w:tabs>
        <w:jc w:val="both"/>
        <w:rPr>
          <w:rFonts w:ascii="Calibri" w:hAnsi="Calibri" w:cs="Calibri"/>
          <w:sz w:val="22"/>
          <w:szCs w:val="22"/>
        </w:rPr>
      </w:pPr>
      <w:r w:rsidRPr="00561746">
        <w:rPr>
          <w:rFonts w:ascii="Calibri" w:hAnsi="Calibri" w:cs="Calibri"/>
          <w:b/>
          <w:sz w:val="22"/>
          <w:szCs w:val="22"/>
        </w:rPr>
        <w:t>VU</w:t>
      </w:r>
      <w:r w:rsidRPr="00561746">
        <w:rPr>
          <w:rFonts w:ascii="Calibri" w:hAnsi="Calibri" w:cs="Calibri"/>
          <w:sz w:val="22"/>
          <w:szCs w:val="22"/>
        </w:rPr>
        <w:t xml:space="preserve"> le Code Général des Collectivités Territoriales ;</w:t>
      </w:r>
    </w:p>
    <w:p w:rsidR="00D93664" w:rsidRDefault="00D93664" w:rsidP="00D93664">
      <w:pPr>
        <w:tabs>
          <w:tab w:val="left" w:pos="6238"/>
        </w:tabs>
        <w:jc w:val="both"/>
        <w:rPr>
          <w:rFonts w:ascii="Calibri" w:hAnsi="Calibri" w:cs="Calibri"/>
          <w:sz w:val="22"/>
          <w:szCs w:val="22"/>
        </w:rPr>
      </w:pPr>
      <w:r w:rsidRPr="00561746">
        <w:rPr>
          <w:rFonts w:ascii="Calibri" w:hAnsi="Calibri" w:cs="Calibri"/>
          <w:b/>
          <w:sz w:val="22"/>
          <w:szCs w:val="22"/>
        </w:rPr>
        <w:t>VU</w:t>
      </w:r>
      <w:r w:rsidRPr="00561746">
        <w:rPr>
          <w:rFonts w:ascii="Calibri" w:hAnsi="Calibri" w:cs="Calibri"/>
          <w:sz w:val="22"/>
          <w:szCs w:val="22"/>
        </w:rPr>
        <w:t xml:space="preserve"> l’arrêté préfectoral n°2019-PREF.DRCL/263 du 30 juillet 2019 portant modification des statuts de la Communauté d’Agglomération de l’Etampois Sud-Essonne ;</w:t>
      </w:r>
    </w:p>
    <w:p w:rsidR="00D93664" w:rsidRDefault="00D93664" w:rsidP="00D93664">
      <w:pPr>
        <w:tabs>
          <w:tab w:val="left" w:pos="6238"/>
        </w:tabs>
        <w:jc w:val="both"/>
        <w:rPr>
          <w:rFonts w:ascii="Calibri" w:hAnsi="Calibri" w:cs="Calibri"/>
          <w:sz w:val="22"/>
          <w:szCs w:val="22"/>
        </w:rPr>
      </w:pPr>
      <w:r w:rsidRPr="00561746">
        <w:rPr>
          <w:rFonts w:ascii="Calibri" w:hAnsi="Calibri" w:cs="Calibri"/>
          <w:b/>
          <w:sz w:val="22"/>
          <w:szCs w:val="22"/>
        </w:rPr>
        <w:t>VU</w:t>
      </w:r>
      <w:r w:rsidRPr="00561746">
        <w:rPr>
          <w:rFonts w:ascii="Calibri" w:hAnsi="Calibri" w:cs="Calibri"/>
          <w:sz w:val="22"/>
          <w:szCs w:val="22"/>
        </w:rPr>
        <w:t xml:space="preserve"> l’article L.5211-4-2 du Code Général des Collectivités Territoriales relatif à la création par un établissement public de coopération intercommunale à fiscalité propre et une ou plusieurs de </w:t>
      </w:r>
      <w:proofErr w:type="gramStart"/>
      <w:r w:rsidRPr="00561746">
        <w:rPr>
          <w:rFonts w:ascii="Calibri" w:hAnsi="Calibri" w:cs="Calibri"/>
          <w:sz w:val="22"/>
          <w:szCs w:val="22"/>
        </w:rPr>
        <w:t>ses communes membres</w:t>
      </w:r>
      <w:proofErr w:type="gramEnd"/>
      <w:r w:rsidRPr="00561746">
        <w:rPr>
          <w:rFonts w:ascii="Calibri" w:hAnsi="Calibri" w:cs="Calibri"/>
          <w:sz w:val="22"/>
          <w:szCs w:val="22"/>
        </w:rPr>
        <w:t>, de services communs chargés de l’exercice de missions fonctionnelles ou opérationnelles en dehors des compétences transférées ;</w:t>
      </w:r>
    </w:p>
    <w:p w:rsidR="00D93664" w:rsidRDefault="00D93664" w:rsidP="00D93664">
      <w:pPr>
        <w:tabs>
          <w:tab w:val="left" w:pos="6238"/>
        </w:tabs>
        <w:jc w:val="both"/>
        <w:rPr>
          <w:rFonts w:ascii="Calibri" w:hAnsi="Calibri" w:cs="Calibri"/>
          <w:sz w:val="22"/>
          <w:szCs w:val="22"/>
        </w:rPr>
      </w:pPr>
      <w:r w:rsidRPr="00561746">
        <w:rPr>
          <w:rFonts w:ascii="Calibri" w:hAnsi="Calibri" w:cs="Calibri"/>
          <w:b/>
          <w:sz w:val="22"/>
          <w:szCs w:val="22"/>
        </w:rPr>
        <w:t>VU</w:t>
      </w:r>
      <w:r w:rsidRPr="00561746">
        <w:rPr>
          <w:rFonts w:ascii="Calibri" w:hAnsi="Calibri" w:cs="Calibri"/>
          <w:sz w:val="22"/>
          <w:szCs w:val="22"/>
        </w:rPr>
        <w:t xml:space="preserve"> l’avis du Comité technique du 7 avril 2022 ;</w:t>
      </w:r>
    </w:p>
    <w:p w:rsidR="00D93664" w:rsidRDefault="00D93664" w:rsidP="00D93664">
      <w:pPr>
        <w:tabs>
          <w:tab w:val="left" w:pos="6238"/>
        </w:tabs>
        <w:jc w:val="both"/>
        <w:rPr>
          <w:rFonts w:ascii="Calibri" w:hAnsi="Calibri" w:cs="Calibri"/>
          <w:sz w:val="22"/>
          <w:szCs w:val="22"/>
        </w:rPr>
      </w:pPr>
      <w:r w:rsidRPr="00561746">
        <w:rPr>
          <w:rFonts w:ascii="Calibri" w:hAnsi="Calibri" w:cs="Calibri"/>
          <w:b/>
          <w:sz w:val="22"/>
          <w:szCs w:val="22"/>
        </w:rPr>
        <w:lastRenderedPageBreak/>
        <w:t>CONSIDÉRANT</w:t>
      </w:r>
      <w:r w:rsidRPr="00561746">
        <w:rPr>
          <w:rFonts w:ascii="Calibri" w:hAnsi="Calibri" w:cs="Calibri"/>
          <w:sz w:val="22"/>
          <w:szCs w:val="22"/>
        </w:rPr>
        <w:t xml:space="preserve"> que la ville d’Étampes a mis fin au conventionnement qui la liait à 21 communes de l’agglomération pour l’instruction de leurs dossiers d’autorisation d’urbanisme ;</w:t>
      </w:r>
    </w:p>
    <w:p w:rsidR="00D93664" w:rsidRDefault="00D93664" w:rsidP="00D93664">
      <w:pPr>
        <w:tabs>
          <w:tab w:val="left" w:pos="6238"/>
        </w:tabs>
        <w:jc w:val="both"/>
        <w:rPr>
          <w:rFonts w:ascii="Calibri" w:hAnsi="Calibri" w:cs="Calibri"/>
          <w:sz w:val="22"/>
          <w:szCs w:val="22"/>
        </w:rPr>
      </w:pPr>
      <w:r w:rsidRPr="00561746">
        <w:rPr>
          <w:rFonts w:ascii="Calibri" w:hAnsi="Calibri" w:cs="Calibri"/>
          <w:b/>
          <w:sz w:val="22"/>
          <w:szCs w:val="22"/>
        </w:rPr>
        <w:t>CONSIDÉRANT</w:t>
      </w:r>
      <w:r w:rsidRPr="00561746">
        <w:rPr>
          <w:rFonts w:ascii="Calibri" w:hAnsi="Calibri" w:cs="Calibri"/>
          <w:sz w:val="22"/>
          <w:szCs w:val="22"/>
        </w:rPr>
        <w:t xml:space="preserve"> que cette décision, avec un délai de mise en œuvre très court, place un certain nombre de communes dans une difficulté certaine ;</w:t>
      </w:r>
    </w:p>
    <w:p w:rsidR="00D93664" w:rsidRDefault="00D93664" w:rsidP="00D93664">
      <w:pPr>
        <w:tabs>
          <w:tab w:val="left" w:pos="6238"/>
        </w:tabs>
        <w:jc w:val="both"/>
        <w:rPr>
          <w:rFonts w:ascii="Calibri" w:hAnsi="Calibri" w:cs="Calibri"/>
          <w:sz w:val="22"/>
          <w:szCs w:val="22"/>
        </w:rPr>
      </w:pPr>
      <w:r w:rsidRPr="00561746">
        <w:rPr>
          <w:rFonts w:ascii="Calibri" w:hAnsi="Calibri" w:cs="Calibri"/>
          <w:b/>
          <w:sz w:val="22"/>
          <w:szCs w:val="22"/>
        </w:rPr>
        <w:t>CONSIDÉRANT</w:t>
      </w:r>
      <w:r w:rsidRPr="00561746">
        <w:rPr>
          <w:rFonts w:ascii="Calibri" w:hAnsi="Calibri" w:cs="Calibri"/>
          <w:sz w:val="22"/>
          <w:szCs w:val="22"/>
        </w:rPr>
        <w:t xml:space="preserve"> que l'article L.5211-4-2 du CGCT prévoit qu'en dehors de toute compétence transférée, un EPCI à fiscalité propre et une ou plusieurs de </w:t>
      </w:r>
      <w:proofErr w:type="gramStart"/>
      <w:r w:rsidRPr="00561746">
        <w:rPr>
          <w:rFonts w:ascii="Calibri" w:hAnsi="Calibri" w:cs="Calibri"/>
          <w:sz w:val="22"/>
          <w:szCs w:val="22"/>
        </w:rPr>
        <w:t>ses communes membres</w:t>
      </w:r>
      <w:proofErr w:type="gramEnd"/>
      <w:r w:rsidRPr="00561746">
        <w:rPr>
          <w:rFonts w:ascii="Calibri" w:hAnsi="Calibri" w:cs="Calibri"/>
          <w:sz w:val="22"/>
          <w:szCs w:val="22"/>
        </w:rPr>
        <w:t xml:space="preserve"> peuvent se doter de services communs ;</w:t>
      </w:r>
    </w:p>
    <w:p w:rsidR="00D93664" w:rsidRDefault="00D93664" w:rsidP="00D93664">
      <w:pPr>
        <w:tabs>
          <w:tab w:val="left" w:pos="6238"/>
        </w:tabs>
        <w:jc w:val="both"/>
        <w:rPr>
          <w:rFonts w:ascii="Calibri" w:hAnsi="Calibri" w:cs="Calibri"/>
          <w:sz w:val="22"/>
          <w:szCs w:val="22"/>
        </w:rPr>
      </w:pPr>
      <w:r w:rsidRPr="00561746">
        <w:rPr>
          <w:rFonts w:ascii="Calibri" w:hAnsi="Calibri" w:cs="Calibri"/>
          <w:b/>
          <w:sz w:val="22"/>
          <w:szCs w:val="22"/>
        </w:rPr>
        <w:t>CONSIDÉRANT</w:t>
      </w:r>
      <w:r w:rsidRPr="00561746">
        <w:rPr>
          <w:rFonts w:ascii="Calibri" w:hAnsi="Calibri" w:cs="Calibri"/>
          <w:sz w:val="22"/>
          <w:szCs w:val="22"/>
        </w:rPr>
        <w:t xml:space="preserve"> que les dispositions relatives à la mise en place de services communs permettent leur financement via l’attribution de compensation pour éviter la multiplication des écritures comptables ;</w:t>
      </w:r>
    </w:p>
    <w:p w:rsidR="00D93664" w:rsidRPr="00561746" w:rsidRDefault="00D93664" w:rsidP="00D93664">
      <w:pPr>
        <w:tabs>
          <w:tab w:val="left" w:pos="6238"/>
        </w:tabs>
        <w:jc w:val="both"/>
        <w:rPr>
          <w:rFonts w:ascii="Calibri" w:hAnsi="Calibri" w:cs="Calibri"/>
          <w:sz w:val="22"/>
          <w:szCs w:val="22"/>
        </w:rPr>
      </w:pPr>
      <w:r w:rsidRPr="00561746">
        <w:rPr>
          <w:rFonts w:ascii="Calibri" w:hAnsi="Calibri" w:cs="Calibri"/>
          <w:b/>
          <w:sz w:val="22"/>
          <w:szCs w:val="22"/>
        </w:rPr>
        <w:t>CONSIDÉRANT</w:t>
      </w:r>
      <w:r w:rsidRPr="00561746">
        <w:rPr>
          <w:rFonts w:ascii="Calibri" w:hAnsi="Calibri" w:cs="Calibri"/>
          <w:sz w:val="22"/>
          <w:szCs w:val="22"/>
        </w:rPr>
        <w:t xml:space="preserve"> la vocation de la Communauté d’Agglomération d’être un outil au service de </w:t>
      </w:r>
      <w:proofErr w:type="gramStart"/>
      <w:r w:rsidRPr="00561746">
        <w:rPr>
          <w:rFonts w:ascii="Calibri" w:hAnsi="Calibri" w:cs="Calibri"/>
          <w:sz w:val="22"/>
          <w:szCs w:val="22"/>
        </w:rPr>
        <w:t>ses communes membres</w:t>
      </w:r>
      <w:proofErr w:type="gramEnd"/>
      <w:r w:rsidRPr="00561746">
        <w:rPr>
          <w:rFonts w:ascii="Calibri" w:hAnsi="Calibri" w:cs="Calibri"/>
          <w:sz w:val="22"/>
          <w:szCs w:val="22"/>
        </w:rPr>
        <w:t> ;</w:t>
      </w:r>
    </w:p>
    <w:p w:rsidR="00D93664" w:rsidRPr="00561746" w:rsidRDefault="00D93664" w:rsidP="00D93664">
      <w:pPr>
        <w:tabs>
          <w:tab w:val="left" w:pos="6238"/>
        </w:tabs>
        <w:jc w:val="both"/>
        <w:rPr>
          <w:rFonts w:ascii="Calibri" w:hAnsi="Calibri" w:cs="Calibri"/>
          <w:sz w:val="22"/>
          <w:szCs w:val="22"/>
        </w:rPr>
      </w:pPr>
    </w:p>
    <w:p w:rsidR="00D93664" w:rsidRPr="00561746" w:rsidRDefault="00D93664" w:rsidP="00D93664">
      <w:pPr>
        <w:tabs>
          <w:tab w:val="left" w:pos="6238"/>
        </w:tabs>
        <w:jc w:val="both"/>
        <w:rPr>
          <w:rFonts w:ascii="Calibri" w:hAnsi="Calibri" w:cs="Calibri"/>
          <w:sz w:val="22"/>
          <w:szCs w:val="22"/>
        </w:rPr>
      </w:pPr>
      <w:r w:rsidRPr="00561746">
        <w:rPr>
          <w:rFonts w:ascii="Calibri" w:hAnsi="Calibri" w:cs="Calibri"/>
          <w:sz w:val="22"/>
          <w:szCs w:val="22"/>
        </w:rPr>
        <w:t>Le Conseil Municipal, après en avoir délibéré à l’unanimité :</w:t>
      </w:r>
    </w:p>
    <w:p w:rsidR="00D93664" w:rsidRPr="00561746" w:rsidRDefault="00D93664" w:rsidP="00D93664">
      <w:pPr>
        <w:tabs>
          <w:tab w:val="left" w:pos="6238"/>
        </w:tabs>
        <w:jc w:val="both"/>
        <w:rPr>
          <w:rFonts w:ascii="Calibri" w:hAnsi="Calibri" w:cs="Calibri"/>
          <w:sz w:val="22"/>
          <w:szCs w:val="22"/>
        </w:rPr>
      </w:pPr>
    </w:p>
    <w:p w:rsidR="00D93664" w:rsidRPr="00561746" w:rsidRDefault="00D93664" w:rsidP="00D93664">
      <w:pPr>
        <w:numPr>
          <w:ilvl w:val="0"/>
          <w:numId w:val="26"/>
        </w:numPr>
        <w:jc w:val="both"/>
        <w:rPr>
          <w:rFonts w:ascii="Calibri" w:hAnsi="Calibri" w:cs="Calibri"/>
          <w:sz w:val="22"/>
          <w:szCs w:val="22"/>
        </w:rPr>
      </w:pPr>
      <w:r w:rsidRPr="00561746">
        <w:rPr>
          <w:rFonts w:ascii="Calibri" w:hAnsi="Calibri" w:cs="Calibri"/>
          <w:b/>
          <w:sz w:val="22"/>
          <w:szCs w:val="22"/>
        </w:rPr>
        <w:t>APPROUVE</w:t>
      </w:r>
      <w:r w:rsidRPr="00561746">
        <w:rPr>
          <w:rFonts w:ascii="Calibri" w:hAnsi="Calibri" w:cs="Calibri"/>
          <w:sz w:val="22"/>
          <w:szCs w:val="22"/>
        </w:rPr>
        <w:t xml:space="preserve"> la création d’un service commun d’instruction du droit des sols ;</w:t>
      </w:r>
    </w:p>
    <w:p w:rsidR="00D93664" w:rsidRPr="00561746" w:rsidRDefault="00D93664" w:rsidP="00D93664">
      <w:pPr>
        <w:numPr>
          <w:ilvl w:val="0"/>
          <w:numId w:val="26"/>
        </w:numPr>
        <w:jc w:val="both"/>
        <w:rPr>
          <w:rFonts w:ascii="Calibri" w:hAnsi="Calibri" w:cs="Calibri"/>
          <w:sz w:val="22"/>
          <w:szCs w:val="22"/>
        </w:rPr>
      </w:pPr>
      <w:r w:rsidRPr="00561746">
        <w:rPr>
          <w:rFonts w:ascii="Calibri" w:hAnsi="Calibri" w:cs="Calibri"/>
          <w:b/>
          <w:sz w:val="22"/>
          <w:szCs w:val="22"/>
        </w:rPr>
        <w:t>APPROUVE</w:t>
      </w:r>
      <w:r w:rsidRPr="00561746">
        <w:rPr>
          <w:rFonts w:ascii="Calibri" w:hAnsi="Calibri" w:cs="Calibri"/>
          <w:sz w:val="22"/>
          <w:szCs w:val="22"/>
        </w:rPr>
        <w:t xml:space="preserve"> la convention-cadre d’adhésion au service d’instruction du droit des sols ;</w:t>
      </w:r>
    </w:p>
    <w:p w:rsidR="00D93664" w:rsidRPr="00561746" w:rsidRDefault="00D93664" w:rsidP="00D93664">
      <w:pPr>
        <w:numPr>
          <w:ilvl w:val="0"/>
          <w:numId w:val="26"/>
        </w:numPr>
        <w:jc w:val="both"/>
        <w:rPr>
          <w:rFonts w:ascii="Calibri" w:hAnsi="Calibri" w:cs="Calibri"/>
          <w:sz w:val="22"/>
          <w:szCs w:val="22"/>
        </w:rPr>
      </w:pPr>
      <w:r w:rsidRPr="00561746">
        <w:rPr>
          <w:rFonts w:ascii="Calibri" w:hAnsi="Calibri" w:cs="Calibri"/>
          <w:b/>
          <w:sz w:val="22"/>
          <w:szCs w:val="22"/>
        </w:rPr>
        <w:t>APPROUVE</w:t>
      </w:r>
      <w:r w:rsidRPr="00561746">
        <w:rPr>
          <w:rFonts w:ascii="Calibri" w:hAnsi="Calibri" w:cs="Calibri"/>
          <w:sz w:val="22"/>
          <w:szCs w:val="22"/>
        </w:rPr>
        <w:t xml:space="preserve"> le mode de financement de ce service via l’attribution des communes adhérentes ;</w:t>
      </w:r>
    </w:p>
    <w:p w:rsidR="00D93664" w:rsidRPr="00561746" w:rsidRDefault="00D93664" w:rsidP="00D93664">
      <w:pPr>
        <w:numPr>
          <w:ilvl w:val="0"/>
          <w:numId w:val="26"/>
        </w:numPr>
        <w:jc w:val="both"/>
        <w:rPr>
          <w:rFonts w:ascii="Calibri" w:hAnsi="Calibri" w:cs="Calibri"/>
          <w:sz w:val="22"/>
          <w:szCs w:val="22"/>
        </w:rPr>
      </w:pPr>
      <w:r w:rsidRPr="00561746">
        <w:rPr>
          <w:rFonts w:ascii="Calibri" w:hAnsi="Calibri" w:cs="Calibri"/>
          <w:b/>
          <w:sz w:val="22"/>
          <w:szCs w:val="22"/>
        </w:rPr>
        <w:t>AUTORISE</w:t>
      </w:r>
      <w:r w:rsidRPr="00561746">
        <w:rPr>
          <w:rFonts w:ascii="Calibri" w:hAnsi="Calibri" w:cs="Calibri"/>
          <w:sz w:val="22"/>
          <w:szCs w:val="22"/>
        </w:rPr>
        <w:t xml:space="preserve"> Monsieur le Maire à signer les conventions d’adhésion au service commun « Instruction du droit des sols » selon les fondements de l’article L.5211-4-2 du CGCT ;</w:t>
      </w:r>
    </w:p>
    <w:p w:rsidR="00554F7D" w:rsidRDefault="00554F7D" w:rsidP="00554F7D">
      <w:pPr>
        <w:jc w:val="both"/>
        <w:rPr>
          <w:rFonts w:asciiTheme="minorHAnsi" w:hAnsiTheme="minorHAnsi" w:cstheme="minorHAnsi"/>
          <w:sz w:val="22"/>
          <w:szCs w:val="22"/>
        </w:rPr>
      </w:pPr>
    </w:p>
    <w:p w:rsidR="00B976D5" w:rsidRPr="00CD7DBD" w:rsidRDefault="00B976D5" w:rsidP="009009D1">
      <w:pPr>
        <w:tabs>
          <w:tab w:val="left" w:pos="6238"/>
        </w:tabs>
        <w:jc w:val="both"/>
        <w:rPr>
          <w:rFonts w:asciiTheme="minorHAnsi" w:hAnsiTheme="minorHAnsi" w:cstheme="minorHAnsi"/>
          <w:sz w:val="22"/>
          <w:szCs w:val="22"/>
        </w:rPr>
      </w:pPr>
    </w:p>
    <w:p w:rsidR="00287461" w:rsidRPr="00CD7DBD" w:rsidRDefault="00287461" w:rsidP="00573E1C">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QUESTIONS DIVERSES</w:t>
      </w:r>
    </w:p>
    <w:p w:rsidR="00287461" w:rsidRPr="00CD7DBD" w:rsidRDefault="00287461" w:rsidP="00287461">
      <w:pPr>
        <w:pStyle w:val="Textbody"/>
        <w:spacing w:after="0"/>
        <w:jc w:val="both"/>
        <w:rPr>
          <w:rFonts w:asciiTheme="minorHAnsi" w:hAnsiTheme="minorHAnsi" w:cstheme="minorHAnsi"/>
          <w:sz w:val="22"/>
          <w:szCs w:val="22"/>
        </w:rPr>
      </w:pPr>
    </w:p>
    <w:p w:rsidR="00C9008C" w:rsidRPr="00CD7DBD" w:rsidRDefault="004C1633" w:rsidP="0097329B">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Pr>
          <w:rFonts w:asciiTheme="minorHAnsi" w:hAnsiTheme="minorHAnsi" w:cstheme="minorHAnsi"/>
          <w:sz w:val="22"/>
          <w:szCs w:val="22"/>
        </w:rPr>
        <w:t>Travaux sur la commune : Certaines Entreprises effectuant des travaux sur la commune ne nettoient pas leur chantier et laissent sur place, à charge de la commune de débarrasser, des végétaux, cailloux, monticules de terre, et autres matériaux divers</w:t>
      </w:r>
      <w:r w:rsidR="004D5E6C">
        <w:rPr>
          <w:rFonts w:asciiTheme="minorHAnsi" w:hAnsiTheme="minorHAnsi" w:cstheme="minorHAnsi"/>
          <w:sz w:val="22"/>
          <w:szCs w:val="22"/>
        </w:rPr>
        <w:t>.</w:t>
      </w:r>
      <w:r>
        <w:rPr>
          <w:rFonts w:asciiTheme="minorHAnsi" w:hAnsiTheme="minorHAnsi" w:cstheme="minorHAnsi"/>
          <w:sz w:val="22"/>
          <w:szCs w:val="22"/>
        </w:rPr>
        <w:t xml:space="preserve"> Ces Entreprise seront contacter afin de demander </w:t>
      </w:r>
      <w:r w:rsidR="00416030">
        <w:rPr>
          <w:rFonts w:asciiTheme="minorHAnsi" w:hAnsiTheme="minorHAnsi" w:cstheme="minorHAnsi"/>
          <w:sz w:val="22"/>
          <w:szCs w:val="22"/>
        </w:rPr>
        <w:t>une</w:t>
      </w:r>
      <w:r>
        <w:rPr>
          <w:rFonts w:asciiTheme="minorHAnsi" w:hAnsiTheme="minorHAnsi" w:cstheme="minorHAnsi"/>
          <w:sz w:val="22"/>
          <w:szCs w:val="22"/>
        </w:rPr>
        <w:t xml:space="preserve"> intervention de nettoyage.</w:t>
      </w:r>
    </w:p>
    <w:p w:rsidR="00C9008C" w:rsidRPr="00CD7DBD" w:rsidRDefault="00416030" w:rsidP="00C9008C">
      <w:pPr>
        <w:pStyle w:val="Paragraphedeliste"/>
        <w:numPr>
          <w:ilvl w:val="0"/>
          <w:numId w:val="1"/>
        </w:numPr>
        <w:suppressAutoHyphens/>
        <w:autoSpaceDN w:val="0"/>
        <w:contextualSpacing w:val="0"/>
        <w:textAlignment w:val="baseline"/>
        <w:rPr>
          <w:rFonts w:asciiTheme="minorHAnsi" w:hAnsiTheme="minorHAnsi" w:cstheme="minorHAnsi"/>
          <w:b/>
          <w:bCs/>
          <w:sz w:val="22"/>
          <w:szCs w:val="22"/>
        </w:rPr>
      </w:pPr>
      <w:r>
        <w:rPr>
          <w:rFonts w:asciiTheme="minorHAnsi" w:hAnsiTheme="minorHAnsi" w:cstheme="minorHAnsi"/>
          <w:bCs/>
          <w:sz w:val="22"/>
          <w:szCs w:val="22"/>
        </w:rPr>
        <w:t>Fleurissement de la Commune : Celui-ci sera effectué dans les prochaines semaines</w:t>
      </w:r>
      <w:r w:rsidR="004D5E6C">
        <w:rPr>
          <w:rFonts w:asciiTheme="minorHAnsi" w:hAnsiTheme="minorHAnsi" w:cstheme="minorHAnsi"/>
          <w:bCs/>
          <w:sz w:val="22"/>
          <w:szCs w:val="22"/>
        </w:rPr>
        <w:t>.</w:t>
      </w:r>
    </w:p>
    <w:p w:rsidR="008F6492" w:rsidRPr="00CD7DBD" w:rsidRDefault="00416030" w:rsidP="006E216B">
      <w:pPr>
        <w:pStyle w:val="Paragraphedeliste"/>
        <w:numPr>
          <w:ilvl w:val="0"/>
          <w:numId w:val="1"/>
        </w:numPr>
        <w:suppressAutoHyphens/>
        <w:autoSpaceDN w:val="0"/>
        <w:textAlignment w:val="baseline"/>
        <w:rPr>
          <w:rFonts w:asciiTheme="minorHAnsi" w:hAnsiTheme="minorHAnsi" w:cstheme="minorHAnsi"/>
          <w:sz w:val="22"/>
          <w:szCs w:val="22"/>
        </w:rPr>
      </w:pPr>
      <w:r>
        <w:rPr>
          <w:rFonts w:asciiTheme="minorHAnsi" w:hAnsiTheme="minorHAnsi" w:cstheme="minorHAnsi"/>
          <w:sz w:val="22"/>
          <w:szCs w:val="22"/>
        </w:rPr>
        <w:t>Site Internet : Il a été demandé de supprimer certaines photos du site. Cette opération sera effectuée prochainement</w:t>
      </w:r>
      <w:r w:rsidR="007915C0">
        <w:rPr>
          <w:rFonts w:asciiTheme="minorHAnsi" w:hAnsiTheme="minorHAnsi" w:cstheme="minorHAnsi"/>
          <w:sz w:val="22"/>
          <w:szCs w:val="22"/>
        </w:rPr>
        <w:t>.</w:t>
      </w:r>
    </w:p>
    <w:p w:rsidR="008F6492" w:rsidRPr="00CD7DBD" w:rsidRDefault="00416030" w:rsidP="006E216B">
      <w:pPr>
        <w:pStyle w:val="Paragraphedeliste"/>
        <w:numPr>
          <w:ilvl w:val="0"/>
          <w:numId w:val="1"/>
        </w:numPr>
        <w:suppressAutoHyphens/>
        <w:autoSpaceDN w:val="0"/>
        <w:textAlignment w:val="baseline"/>
        <w:rPr>
          <w:rFonts w:asciiTheme="minorHAnsi" w:hAnsiTheme="minorHAnsi" w:cstheme="minorHAnsi"/>
          <w:sz w:val="22"/>
          <w:szCs w:val="22"/>
        </w:rPr>
      </w:pPr>
      <w:r>
        <w:rPr>
          <w:rFonts w:asciiTheme="minorHAnsi" w:hAnsiTheme="minorHAnsi" w:cstheme="minorHAnsi"/>
          <w:sz w:val="22"/>
          <w:szCs w:val="22"/>
        </w:rPr>
        <w:t>Rodéos : Depuis plusieurs jours, il a été constaté des rodéos de motos en soirée sur la commune</w:t>
      </w:r>
      <w:r w:rsidR="007915C0">
        <w:rPr>
          <w:rFonts w:asciiTheme="minorHAnsi" w:hAnsiTheme="minorHAnsi" w:cstheme="minorHAnsi"/>
          <w:sz w:val="22"/>
          <w:szCs w:val="22"/>
        </w:rPr>
        <w:t>.</w:t>
      </w:r>
      <w:r>
        <w:rPr>
          <w:rFonts w:asciiTheme="minorHAnsi" w:hAnsiTheme="minorHAnsi" w:cstheme="minorHAnsi"/>
          <w:sz w:val="22"/>
          <w:szCs w:val="22"/>
        </w:rPr>
        <w:t xml:space="preserve"> La Gendarmerie est déjà intervenue à deux reprises.</w:t>
      </w:r>
    </w:p>
    <w:p w:rsidR="008F6492" w:rsidRPr="00CD7DBD" w:rsidRDefault="008F6492" w:rsidP="008F6492">
      <w:pPr>
        <w:suppressAutoHyphens/>
        <w:autoSpaceDN w:val="0"/>
        <w:textAlignment w:val="baseline"/>
        <w:rPr>
          <w:rFonts w:asciiTheme="minorHAnsi" w:hAnsiTheme="minorHAnsi" w:cstheme="minorHAnsi"/>
          <w:sz w:val="22"/>
          <w:szCs w:val="22"/>
        </w:rPr>
      </w:pPr>
    </w:p>
    <w:p w:rsidR="005B62F1" w:rsidRPr="00CD7DBD" w:rsidRDefault="005B62F1" w:rsidP="00287461">
      <w:pPr>
        <w:pStyle w:val="Paragraphedeliste"/>
        <w:ind w:left="0"/>
        <w:rPr>
          <w:rFonts w:asciiTheme="minorHAnsi" w:hAnsiTheme="minorHAnsi" w:cstheme="minorHAnsi"/>
          <w:sz w:val="22"/>
          <w:szCs w:val="22"/>
        </w:rPr>
      </w:pPr>
    </w:p>
    <w:p w:rsidR="00A462BB" w:rsidRPr="00CD7DBD" w:rsidRDefault="00287461" w:rsidP="00287461">
      <w:pPr>
        <w:pStyle w:val="Paragraphedeliste"/>
        <w:ind w:left="0"/>
        <w:rPr>
          <w:rFonts w:asciiTheme="minorHAnsi" w:hAnsiTheme="minorHAnsi" w:cstheme="minorHAnsi"/>
          <w:sz w:val="22"/>
          <w:szCs w:val="22"/>
        </w:rPr>
      </w:pPr>
      <w:r w:rsidRPr="00CD7DBD">
        <w:rPr>
          <w:rFonts w:asciiTheme="minorHAnsi" w:hAnsiTheme="minorHAnsi" w:cstheme="minorHAnsi"/>
          <w:sz w:val="22"/>
          <w:szCs w:val="22"/>
        </w:rPr>
        <w:t>L’ordre du jour étant épuisé</w:t>
      </w:r>
      <w:r w:rsidR="00D90512" w:rsidRPr="00CD7DBD">
        <w:rPr>
          <w:rFonts w:asciiTheme="minorHAnsi" w:hAnsiTheme="minorHAnsi" w:cstheme="minorHAnsi"/>
          <w:sz w:val="22"/>
          <w:szCs w:val="22"/>
        </w:rPr>
        <w:t>,</w:t>
      </w:r>
      <w:r w:rsidRPr="00CD7DBD">
        <w:rPr>
          <w:rFonts w:asciiTheme="minorHAnsi" w:hAnsiTheme="minorHAnsi" w:cstheme="minorHAnsi"/>
          <w:sz w:val="22"/>
          <w:szCs w:val="22"/>
        </w:rPr>
        <w:t xml:space="preserve"> la séance est levée </w:t>
      </w:r>
      <w:r w:rsidRPr="00935E93">
        <w:rPr>
          <w:rFonts w:asciiTheme="minorHAnsi" w:hAnsiTheme="minorHAnsi" w:cstheme="minorHAnsi"/>
          <w:sz w:val="22"/>
          <w:szCs w:val="22"/>
        </w:rPr>
        <w:t>à</w:t>
      </w:r>
      <w:r w:rsidRPr="00CD7DBD">
        <w:rPr>
          <w:rFonts w:asciiTheme="minorHAnsi" w:hAnsiTheme="minorHAnsi" w:cstheme="minorHAnsi"/>
          <w:strike/>
          <w:sz w:val="22"/>
          <w:szCs w:val="22"/>
        </w:rPr>
        <w:t xml:space="preserve"> </w:t>
      </w:r>
      <w:r w:rsidR="00D93664">
        <w:rPr>
          <w:rFonts w:asciiTheme="minorHAnsi" w:hAnsiTheme="minorHAnsi" w:cstheme="minorHAnsi"/>
          <w:sz w:val="22"/>
          <w:szCs w:val="22"/>
        </w:rPr>
        <w:t>21h20</w:t>
      </w:r>
      <w:r w:rsidR="00491553" w:rsidRPr="00CD7DBD">
        <w:rPr>
          <w:rFonts w:asciiTheme="minorHAnsi" w:hAnsiTheme="minorHAnsi" w:cstheme="minorHAnsi"/>
          <w:sz w:val="22"/>
          <w:szCs w:val="22"/>
        </w:rPr>
        <w:t>.</w:t>
      </w:r>
    </w:p>
    <w:p w:rsidR="00287461" w:rsidRPr="00CD7DBD" w:rsidRDefault="00287461" w:rsidP="00287461">
      <w:pPr>
        <w:tabs>
          <w:tab w:val="center" w:pos="4817"/>
          <w:tab w:val="right" w:pos="9639"/>
        </w:tabs>
        <w:jc w:val="both"/>
        <w:rPr>
          <w:rFonts w:asciiTheme="minorHAnsi" w:hAnsiTheme="minorHAnsi" w:cstheme="minorHAnsi"/>
          <w:sz w:val="22"/>
          <w:szCs w:val="22"/>
        </w:rPr>
      </w:pPr>
    </w:p>
    <w:p w:rsidR="00A010E4" w:rsidRPr="00CD7DBD" w:rsidRDefault="00A010E4" w:rsidP="00A010E4">
      <w:pPr>
        <w:pStyle w:val="Paragraphedeliste"/>
        <w:tabs>
          <w:tab w:val="left" w:pos="3402"/>
          <w:tab w:val="left" w:pos="7088"/>
        </w:tabs>
        <w:ind w:left="0"/>
        <w:rPr>
          <w:rFonts w:asciiTheme="minorHAnsi" w:hAnsiTheme="minorHAnsi" w:cstheme="minorHAnsi"/>
          <w:b/>
          <w:sz w:val="22"/>
          <w:szCs w:val="22"/>
        </w:rPr>
      </w:pPr>
      <w:r w:rsidRPr="00CD7DBD">
        <w:rPr>
          <w:rFonts w:asciiTheme="minorHAnsi" w:hAnsiTheme="minorHAnsi" w:cstheme="minorHAnsi"/>
          <w:b/>
          <w:sz w:val="22"/>
          <w:szCs w:val="22"/>
        </w:rPr>
        <w:t>Le Maire,</w:t>
      </w:r>
      <w:r w:rsidRPr="00CD7DBD">
        <w:rPr>
          <w:rFonts w:asciiTheme="minorHAnsi" w:hAnsiTheme="minorHAnsi" w:cstheme="minorHAnsi"/>
          <w:b/>
          <w:sz w:val="22"/>
          <w:szCs w:val="22"/>
        </w:rPr>
        <w:tab/>
        <w:t>L</w:t>
      </w:r>
      <w:r w:rsidR="00935E93">
        <w:rPr>
          <w:rFonts w:asciiTheme="minorHAnsi" w:hAnsiTheme="minorHAnsi" w:cstheme="minorHAnsi"/>
          <w:b/>
          <w:sz w:val="22"/>
          <w:szCs w:val="22"/>
        </w:rPr>
        <w:t>e</w:t>
      </w:r>
      <w:r w:rsidRPr="00CD7DBD">
        <w:rPr>
          <w:rFonts w:asciiTheme="minorHAnsi" w:hAnsiTheme="minorHAnsi" w:cstheme="minorHAnsi"/>
          <w:b/>
          <w:sz w:val="22"/>
          <w:szCs w:val="22"/>
        </w:rPr>
        <w:t xml:space="preserve"> Secrétaire de Séance,</w:t>
      </w:r>
      <w:r w:rsidRPr="00CD7DBD">
        <w:rPr>
          <w:rFonts w:asciiTheme="minorHAnsi" w:hAnsiTheme="minorHAnsi" w:cstheme="minorHAnsi"/>
          <w:b/>
          <w:sz w:val="22"/>
          <w:szCs w:val="22"/>
        </w:rPr>
        <w:tab/>
        <w:t>Les Conseillers</w:t>
      </w:r>
    </w:p>
    <w:p w:rsidR="00951C9A" w:rsidRPr="00491553" w:rsidRDefault="00A010E4" w:rsidP="00781AE2">
      <w:pPr>
        <w:pStyle w:val="Paragraphedeliste"/>
        <w:tabs>
          <w:tab w:val="left" w:pos="3402"/>
        </w:tabs>
        <w:ind w:left="0"/>
        <w:rPr>
          <w:rFonts w:asciiTheme="minorHAnsi" w:eastAsia="Arial Unicode MS" w:hAnsiTheme="minorHAnsi" w:cstheme="minorHAnsi"/>
          <w:b/>
          <w:sz w:val="22"/>
          <w:szCs w:val="22"/>
        </w:rPr>
      </w:pPr>
      <w:r w:rsidRPr="00CD7DBD">
        <w:rPr>
          <w:rFonts w:asciiTheme="minorHAnsi" w:hAnsiTheme="minorHAnsi" w:cstheme="minorHAnsi"/>
          <w:b/>
          <w:sz w:val="22"/>
          <w:szCs w:val="22"/>
        </w:rPr>
        <w:t>MARTIN Alain</w:t>
      </w:r>
    </w:p>
    <w:sectPr w:rsidR="00951C9A" w:rsidRPr="00491553"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17611"/>
    <w:multiLevelType w:val="hybridMultilevel"/>
    <w:tmpl w:val="736A3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7C6C70"/>
    <w:multiLevelType w:val="hybridMultilevel"/>
    <w:tmpl w:val="C98C8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2B516F"/>
    <w:multiLevelType w:val="hybridMultilevel"/>
    <w:tmpl w:val="96AA6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55E60A8"/>
    <w:multiLevelType w:val="hybridMultilevel"/>
    <w:tmpl w:val="E384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7A32C7"/>
    <w:multiLevelType w:val="hybridMultilevel"/>
    <w:tmpl w:val="A0DEE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2"/>
  </w:num>
  <w:num w:numId="4">
    <w:abstractNumId w:val="24"/>
  </w:num>
  <w:num w:numId="5">
    <w:abstractNumId w:val="20"/>
  </w:num>
  <w:num w:numId="6">
    <w:abstractNumId w:val="19"/>
  </w:num>
  <w:num w:numId="7">
    <w:abstractNumId w:val="1"/>
  </w:num>
  <w:num w:numId="8">
    <w:abstractNumId w:val="15"/>
  </w:num>
  <w:num w:numId="9">
    <w:abstractNumId w:val="12"/>
  </w:num>
  <w:num w:numId="10">
    <w:abstractNumId w:val="14"/>
  </w:num>
  <w:num w:numId="11">
    <w:abstractNumId w:val="23"/>
  </w:num>
  <w:num w:numId="12">
    <w:abstractNumId w:val="21"/>
  </w:num>
  <w:num w:numId="13">
    <w:abstractNumId w:val="6"/>
  </w:num>
  <w:num w:numId="14">
    <w:abstractNumId w:val="16"/>
  </w:num>
  <w:num w:numId="15">
    <w:abstractNumId w:val="17"/>
  </w:num>
  <w:num w:numId="16">
    <w:abstractNumId w:val="3"/>
  </w:num>
  <w:num w:numId="17">
    <w:abstractNumId w:val="5"/>
  </w:num>
  <w:num w:numId="18">
    <w:abstractNumId w:val="4"/>
  </w:num>
  <w:num w:numId="19">
    <w:abstractNumId w:val="18"/>
  </w:num>
  <w:num w:numId="20">
    <w:abstractNumId w:val="0"/>
  </w:num>
  <w:num w:numId="21">
    <w:abstractNumId w:val="13"/>
  </w:num>
  <w:num w:numId="22">
    <w:abstractNumId w:val="10"/>
  </w:num>
  <w:num w:numId="23">
    <w:abstractNumId w:val="15"/>
  </w:num>
  <w:num w:numId="24">
    <w:abstractNumId w:val="4"/>
  </w:num>
  <w:num w:numId="25">
    <w:abstractNumId w:val="11"/>
  </w:num>
  <w:num w:numId="26">
    <w:abstractNumId w:val="2"/>
  </w:num>
  <w:num w:numId="27">
    <w:abstractNumId w:val="7"/>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34833"/>
    <w:rsid w:val="00040722"/>
    <w:rsid w:val="00044BAF"/>
    <w:rsid w:val="0005751F"/>
    <w:rsid w:val="00064876"/>
    <w:rsid w:val="000705D6"/>
    <w:rsid w:val="0007157A"/>
    <w:rsid w:val="000B3E28"/>
    <w:rsid w:val="000C0289"/>
    <w:rsid w:val="000C2951"/>
    <w:rsid w:val="000C6B30"/>
    <w:rsid w:val="000C719F"/>
    <w:rsid w:val="000D282C"/>
    <w:rsid w:val="000F1190"/>
    <w:rsid w:val="00111442"/>
    <w:rsid w:val="00111E17"/>
    <w:rsid w:val="001268B9"/>
    <w:rsid w:val="00146904"/>
    <w:rsid w:val="001803B0"/>
    <w:rsid w:val="001C2FD2"/>
    <w:rsid w:val="001C6181"/>
    <w:rsid w:val="001D3623"/>
    <w:rsid w:val="001D71C4"/>
    <w:rsid w:val="001F6B45"/>
    <w:rsid w:val="00206CA3"/>
    <w:rsid w:val="00222F0D"/>
    <w:rsid w:val="00236AB7"/>
    <w:rsid w:val="00263012"/>
    <w:rsid w:val="00272CF2"/>
    <w:rsid w:val="00287461"/>
    <w:rsid w:val="002941C4"/>
    <w:rsid w:val="002C10DF"/>
    <w:rsid w:val="002C2479"/>
    <w:rsid w:val="002E28C1"/>
    <w:rsid w:val="002F0494"/>
    <w:rsid w:val="002F296D"/>
    <w:rsid w:val="00332361"/>
    <w:rsid w:val="0034234F"/>
    <w:rsid w:val="003605EC"/>
    <w:rsid w:val="00364D19"/>
    <w:rsid w:val="0036772A"/>
    <w:rsid w:val="00371DEC"/>
    <w:rsid w:val="00375E04"/>
    <w:rsid w:val="00387233"/>
    <w:rsid w:val="0039016B"/>
    <w:rsid w:val="003B66A1"/>
    <w:rsid w:val="003D6626"/>
    <w:rsid w:val="003D749D"/>
    <w:rsid w:val="003E1206"/>
    <w:rsid w:val="003E4A57"/>
    <w:rsid w:val="00412F6B"/>
    <w:rsid w:val="004139F3"/>
    <w:rsid w:val="00416030"/>
    <w:rsid w:val="00426D68"/>
    <w:rsid w:val="00433938"/>
    <w:rsid w:val="0045247F"/>
    <w:rsid w:val="00466BA7"/>
    <w:rsid w:val="00472BE9"/>
    <w:rsid w:val="00490839"/>
    <w:rsid w:val="00491553"/>
    <w:rsid w:val="00494ADC"/>
    <w:rsid w:val="004A4D78"/>
    <w:rsid w:val="004A68F3"/>
    <w:rsid w:val="004B4381"/>
    <w:rsid w:val="004C1633"/>
    <w:rsid w:val="004C4368"/>
    <w:rsid w:val="004D0B72"/>
    <w:rsid w:val="004D5E6C"/>
    <w:rsid w:val="004F2606"/>
    <w:rsid w:val="00505D25"/>
    <w:rsid w:val="00512F47"/>
    <w:rsid w:val="0052726C"/>
    <w:rsid w:val="00530709"/>
    <w:rsid w:val="005317A8"/>
    <w:rsid w:val="00534D7C"/>
    <w:rsid w:val="00535D2D"/>
    <w:rsid w:val="00554F7D"/>
    <w:rsid w:val="00555BB3"/>
    <w:rsid w:val="005603AA"/>
    <w:rsid w:val="00561EC0"/>
    <w:rsid w:val="00573E1C"/>
    <w:rsid w:val="0057454A"/>
    <w:rsid w:val="00576BC9"/>
    <w:rsid w:val="0058456B"/>
    <w:rsid w:val="005B62F1"/>
    <w:rsid w:val="005C6213"/>
    <w:rsid w:val="005D6192"/>
    <w:rsid w:val="005D7852"/>
    <w:rsid w:val="006127A4"/>
    <w:rsid w:val="00642A73"/>
    <w:rsid w:val="00645008"/>
    <w:rsid w:val="00652F0C"/>
    <w:rsid w:val="0065332D"/>
    <w:rsid w:val="00667D24"/>
    <w:rsid w:val="00671D7D"/>
    <w:rsid w:val="00681FCA"/>
    <w:rsid w:val="00693EBC"/>
    <w:rsid w:val="006C4045"/>
    <w:rsid w:val="006E216B"/>
    <w:rsid w:val="006E6101"/>
    <w:rsid w:val="006E78BA"/>
    <w:rsid w:val="0073511F"/>
    <w:rsid w:val="0074033E"/>
    <w:rsid w:val="00743ADB"/>
    <w:rsid w:val="00781AE2"/>
    <w:rsid w:val="0078387E"/>
    <w:rsid w:val="00787512"/>
    <w:rsid w:val="007915C0"/>
    <w:rsid w:val="007C1A12"/>
    <w:rsid w:val="007D24F4"/>
    <w:rsid w:val="007D4BE6"/>
    <w:rsid w:val="00806131"/>
    <w:rsid w:val="0082484A"/>
    <w:rsid w:val="00840962"/>
    <w:rsid w:val="00844A28"/>
    <w:rsid w:val="008545E0"/>
    <w:rsid w:val="0086713D"/>
    <w:rsid w:val="008A2A19"/>
    <w:rsid w:val="008A5414"/>
    <w:rsid w:val="008B566B"/>
    <w:rsid w:val="008B6411"/>
    <w:rsid w:val="008F6492"/>
    <w:rsid w:val="009009D1"/>
    <w:rsid w:val="00930305"/>
    <w:rsid w:val="00935E93"/>
    <w:rsid w:val="00940842"/>
    <w:rsid w:val="0094690A"/>
    <w:rsid w:val="00951C9A"/>
    <w:rsid w:val="009711AE"/>
    <w:rsid w:val="009802E2"/>
    <w:rsid w:val="0098328F"/>
    <w:rsid w:val="00990B1D"/>
    <w:rsid w:val="00992BCB"/>
    <w:rsid w:val="009A621A"/>
    <w:rsid w:val="009B194A"/>
    <w:rsid w:val="009B401E"/>
    <w:rsid w:val="009B5ED3"/>
    <w:rsid w:val="009C3082"/>
    <w:rsid w:val="009D1361"/>
    <w:rsid w:val="009D13F2"/>
    <w:rsid w:val="009F25D8"/>
    <w:rsid w:val="009F6720"/>
    <w:rsid w:val="00A010E4"/>
    <w:rsid w:val="00A24BE3"/>
    <w:rsid w:val="00A44BCC"/>
    <w:rsid w:val="00A462BB"/>
    <w:rsid w:val="00A51FFE"/>
    <w:rsid w:val="00A60C7D"/>
    <w:rsid w:val="00A616FC"/>
    <w:rsid w:val="00A707E8"/>
    <w:rsid w:val="00A92181"/>
    <w:rsid w:val="00AB198C"/>
    <w:rsid w:val="00AB7DCC"/>
    <w:rsid w:val="00AD77A7"/>
    <w:rsid w:val="00AE1F4B"/>
    <w:rsid w:val="00AE3753"/>
    <w:rsid w:val="00AF541B"/>
    <w:rsid w:val="00B14E36"/>
    <w:rsid w:val="00B17FE5"/>
    <w:rsid w:val="00B34E41"/>
    <w:rsid w:val="00B55022"/>
    <w:rsid w:val="00B87B31"/>
    <w:rsid w:val="00B94023"/>
    <w:rsid w:val="00B976D5"/>
    <w:rsid w:val="00BA5C1C"/>
    <w:rsid w:val="00BC37CD"/>
    <w:rsid w:val="00BC77FD"/>
    <w:rsid w:val="00BE3536"/>
    <w:rsid w:val="00BF0887"/>
    <w:rsid w:val="00C01114"/>
    <w:rsid w:val="00C04D1C"/>
    <w:rsid w:val="00C125AD"/>
    <w:rsid w:val="00C217F0"/>
    <w:rsid w:val="00C233EB"/>
    <w:rsid w:val="00C477E7"/>
    <w:rsid w:val="00C865A3"/>
    <w:rsid w:val="00C9008C"/>
    <w:rsid w:val="00CD5620"/>
    <w:rsid w:val="00CD7DBD"/>
    <w:rsid w:val="00D13210"/>
    <w:rsid w:val="00D271C1"/>
    <w:rsid w:val="00D462CB"/>
    <w:rsid w:val="00D46F67"/>
    <w:rsid w:val="00D90512"/>
    <w:rsid w:val="00D93664"/>
    <w:rsid w:val="00DB2E9F"/>
    <w:rsid w:val="00DF390B"/>
    <w:rsid w:val="00E03558"/>
    <w:rsid w:val="00E07447"/>
    <w:rsid w:val="00E213CE"/>
    <w:rsid w:val="00E213F2"/>
    <w:rsid w:val="00E2473B"/>
    <w:rsid w:val="00E342D4"/>
    <w:rsid w:val="00E37869"/>
    <w:rsid w:val="00E41B1C"/>
    <w:rsid w:val="00E42B99"/>
    <w:rsid w:val="00E4388D"/>
    <w:rsid w:val="00E64B49"/>
    <w:rsid w:val="00E677EE"/>
    <w:rsid w:val="00E7084C"/>
    <w:rsid w:val="00E8790C"/>
    <w:rsid w:val="00E908D6"/>
    <w:rsid w:val="00E95A75"/>
    <w:rsid w:val="00EA6430"/>
    <w:rsid w:val="00EC7FDD"/>
    <w:rsid w:val="00F272E7"/>
    <w:rsid w:val="00F52AF3"/>
    <w:rsid w:val="00F66315"/>
    <w:rsid w:val="00F66D98"/>
    <w:rsid w:val="00F67A2F"/>
    <w:rsid w:val="00F7203C"/>
    <w:rsid w:val="00F82A21"/>
    <w:rsid w:val="00FA40C1"/>
    <w:rsid w:val="00FA6CD4"/>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E8A1"/>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C074-9123-4766-92E8-E0C24521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4</Pages>
  <Words>1632</Words>
  <Characters>8978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97</cp:revision>
  <cp:lastPrinted>2022-05-14T06:51:00Z</cp:lastPrinted>
  <dcterms:created xsi:type="dcterms:W3CDTF">2018-02-26T08:29:00Z</dcterms:created>
  <dcterms:modified xsi:type="dcterms:W3CDTF">2022-05-14T09:12:00Z</dcterms:modified>
</cp:coreProperties>
</file>