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3A2CA0">
        <w:rPr>
          <w:rFonts w:asciiTheme="minorHAnsi" w:hAnsiTheme="minorHAnsi" w:cstheme="minorHAnsi"/>
          <w:b/>
          <w:bCs/>
          <w:sz w:val="40"/>
          <w:szCs w:val="40"/>
          <w:u w:val="single"/>
        </w:rPr>
        <w:t>1</w:t>
      </w:r>
      <w:r w:rsidR="003A2CA0" w:rsidRPr="003A2CA0">
        <w:rPr>
          <w:rFonts w:asciiTheme="minorHAnsi" w:hAnsiTheme="minorHAnsi" w:cstheme="minorHAnsi"/>
          <w:b/>
          <w:bCs/>
          <w:sz w:val="40"/>
          <w:szCs w:val="40"/>
          <w:u w:val="single"/>
          <w:vertAlign w:val="superscript"/>
        </w:rPr>
        <w:t>ER</w:t>
      </w:r>
      <w:r w:rsidR="003A2CA0">
        <w:rPr>
          <w:rFonts w:asciiTheme="minorHAnsi" w:hAnsiTheme="minorHAnsi" w:cstheme="minorHAnsi"/>
          <w:b/>
          <w:bCs/>
          <w:sz w:val="40"/>
          <w:szCs w:val="40"/>
          <w:u w:val="single"/>
        </w:rPr>
        <w:t xml:space="preserve"> JUIN</w:t>
      </w:r>
      <w:r w:rsidR="00B976D5" w:rsidRPr="00491553">
        <w:rPr>
          <w:rFonts w:asciiTheme="minorHAnsi" w:hAnsiTheme="minorHAnsi" w:cstheme="minorHAnsi"/>
          <w:b/>
          <w:bCs/>
          <w:sz w:val="40"/>
          <w:szCs w:val="40"/>
          <w:u w:val="single"/>
        </w:rPr>
        <w:t xml:space="preserve"> 202</w:t>
      </w:r>
      <w:r w:rsidR="004A4D78">
        <w:rPr>
          <w:rFonts w:asciiTheme="minorHAnsi" w:hAnsiTheme="minorHAnsi" w:cstheme="minorHAnsi"/>
          <w:b/>
          <w:bCs/>
          <w:sz w:val="40"/>
          <w:szCs w:val="40"/>
          <w:u w:val="single"/>
        </w:rPr>
        <w:t>1</w:t>
      </w:r>
    </w:p>
    <w:p w:rsidR="00287461" w:rsidRPr="001135B6" w:rsidRDefault="00287461" w:rsidP="001135B6">
      <w:pPr>
        <w:jc w:val="both"/>
        <w:rPr>
          <w:rFonts w:asciiTheme="minorHAnsi" w:hAnsiTheme="minorHAnsi" w:cstheme="minorHAnsi"/>
          <w:sz w:val="22"/>
          <w:szCs w:val="22"/>
        </w:rPr>
      </w:pPr>
      <w:bookmarkStart w:id="0" w:name="_GoBack"/>
      <w:bookmarkEnd w:id="0"/>
    </w:p>
    <w:p w:rsidR="00D13210" w:rsidRPr="001135B6" w:rsidRDefault="00D13210" w:rsidP="001135B6">
      <w:pPr>
        <w:jc w:val="both"/>
        <w:rPr>
          <w:rFonts w:asciiTheme="minorHAnsi" w:hAnsiTheme="minorHAnsi" w:cstheme="minorHAnsi"/>
          <w:sz w:val="22"/>
          <w:szCs w:val="22"/>
        </w:rPr>
      </w:pPr>
    </w:p>
    <w:p w:rsidR="004F638E" w:rsidRPr="001135B6" w:rsidRDefault="004F638E" w:rsidP="001135B6">
      <w:pPr>
        <w:tabs>
          <w:tab w:val="left" w:pos="3402"/>
        </w:tabs>
        <w:ind w:right="-568"/>
        <w:jc w:val="both"/>
        <w:rPr>
          <w:rFonts w:ascii="Calibri" w:hAnsi="Calibri" w:cs="Calibri"/>
          <w:b/>
          <w:sz w:val="22"/>
          <w:szCs w:val="22"/>
        </w:rPr>
      </w:pPr>
      <w:r w:rsidRPr="001135B6">
        <w:rPr>
          <w:rFonts w:ascii="Calibri" w:hAnsi="Calibri" w:cs="Calibri"/>
          <w:b/>
          <w:sz w:val="22"/>
          <w:szCs w:val="22"/>
        </w:rPr>
        <w:t>Nombre de membres en exercice :</w:t>
      </w:r>
      <w:r w:rsidRPr="001135B6">
        <w:rPr>
          <w:rFonts w:ascii="Calibri" w:hAnsi="Calibri" w:cs="Calibri"/>
          <w:b/>
          <w:sz w:val="22"/>
          <w:szCs w:val="22"/>
        </w:rPr>
        <w:tab/>
        <w:t>15</w:t>
      </w:r>
    </w:p>
    <w:p w:rsidR="004F638E" w:rsidRPr="001135B6" w:rsidRDefault="004F638E" w:rsidP="001135B6">
      <w:pPr>
        <w:tabs>
          <w:tab w:val="left" w:pos="3402"/>
        </w:tabs>
        <w:ind w:right="-568"/>
        <w:jc w:val="both"/>
        <w:rPr>
          <w:rFonts w:ascii="Calibri" w:hAnsi="Calibri" w:cs="Calibri"/>
          <w:b/>
          <w:sz w:val="22"/>
          <w:szCs w:val="22"/>
        </w:rPr>
      </w:pPr>
      <w:r w:rsidRPr="001135B6">
        <w:rPr>
          <w:rFonts w:ascii="Calibri" w:hAnsi="Calibri" w:cs="Calibri"/>
          <w:b/>
          <w:sz w:val="22"/>
          <w:szCs w:val="22"/>
        </w:rPr>
        <w:t>Nombre de membres présents :</w:t>
      </w:r>
      <w:r w:rsidRPr="001135B6">
        <w:rPr>
          <w:rFonts w:ascii="Calibri" w:hAnsi="Calibri" w:cs="Calibri"/>
          <w:b/>
          <w:sz w:val="22"/>
          <w:szCs w:val="22"/>
        </w:rPr>
        <w:tab/>
        <w:t>13</w:t>
      </w:r>
    </w:p>
    <w:p w:rsidR="004F638E" w:rsidRPr="001135B6" w:rsidRDefault="004F638E" w:rsidP="001135B6">
      <w:pPr>
        <w:tabs>
          <w:tab w:val="left" w:pos="3402"/>
        </w:tabs>
        <w:ind w:right="-568"/>
        <w:jc w:val="both"/>
        <w:rPr>
          <w:rFonts w:ascii="Calibri" w:hAnsi="Calibri" w:cs="Calibri"/>
          <w:b/>
          <w:sz w:val="22"/>
          <w:szCs w:val="22"/>
        </w:rPr>
      </w:pPr>
      <w:r w:rsidRPr="001135B6">
        <w:rPr>
          <w:rFonts w:ascii="Calibri" w:hAnsi="Calibri" w:cs="Calibri"/>
          <w:b/>
          <w:sz w:val="22"/>
          <w:szCs w:val="22"/>
        </w:rPr>
        <w:t>Qui ont pris part à la délibération :</w:t>
      </w:r>
      <w:r w:rsidRPr="001135B6">
        <w:rPr>
          <w:rFonts w:ascii="Calibri" w:hAnsi="Calibri" w:cs="Calibri"/>
          <w:b/>
          <w:sz w:val="22"/>
          <w:szCs w:val="22"/>
        </w:rPr>
        <w:tab/>
        <w:t>15</w:t>
      </w:r>
    </w:p>
    <w:p w:rsidR="004F638E" w:rsidRPr="001135B6" w:rsidRDefault="004F638E" w:rsidP="001135B6">
      <w:pPr>
        <w:ind w:right="-568"/>
        <w:jc w:val="both"/>
        <w:rPr>
          <w:rFonts w:ascii="Calibri" w:hAnsi="Calibri" w:cs="Calibri"/>
          <w:sz w:val="22"/>
          <w:szCs w:val="22"/>
        </w:rPr>
      </w:pPr>
    </w:p>
    <w:p w:rsidR="004F638E" w:rsidRPr="001135B6" w:rsidRDefault="004F638E" w:rsidP="001135B6">
      <w:pPr>
        <w:tabs>
          <w:tab w:val="left" w:pos="2268"/>
        </w:tabs>
        <w:ind w:right="-568"/>
        <w:jc w:val="both"/>
        <w:rPr>
          <w:rFonts w:ascii="Calibri" w:hAnsi="Calibri" w:cs="Calibri"/>
          <w:b/>
          <w:sz w:val="22"/>
          <w:szCs w:val="22"/>
        </w:rPr>
      </w:pPr>
      <w:r w:rsidRPr="001135B6">
        <w:rPr>
          <w:rFonts w:ascii="Calibri" w:hAnsi="Calibri" w:cs="Calibri"/>
          <w:b/>
          <w:sz w:val="22"/>
          <w:szCs w:val="22"/>
          <w:u w:val="single"/>
        </w:rPr>
        <w:t>Date de convocation</w:t>
      </w:r>
      <w:r w:rsidRPr="001135B6">
        <w:rPr>
          <w:rFonts w:ascii="Calibri" w:hAnsi="Calibri" w:cs="Calibri"/>
          <w:b/>
          <w:sz w:val="22"/>
          <w:szCs w:val="22"/>
        </w:rPr>
        <w:t> :</w:t>
      </w:r>
      <w:r w:rsidRPr="001135B6">
        <w:rPr>
          <w:rFonts w:ascii="Calibri" w:hAnsi="Calibri" w:cs="Calibri"/>
          <w:b/>
          <w:sz w:val="22"/>
          <w:szCs w:val="22"/>
        </w:rPr>
        <w:tab/>
        <w:t>25 mai 2021</w:t>
      </w:r>
    </w:p>
    <w:p w:rsidR="004F638E" w:rsidRPr="001135B6" w:rsidRDefault="004F638E" w:rsidP="001135B6">
      <w:pPr>
        <w:tabs>
          <w:tab w:val="left" w:pos="2268"/>
        </w:tabs>
        <w:ind w:right="-568"/>
        <w:jc w:val="both"/>
        <w:rPr>
          <w:rFonts w:ascii="Calibri" w:hAnsi="Calibri" w:cs="Calibri"/>
          <w:b/>
          <w:sz w:val="22"/>
          <w:szCs w:val="22"/>
        </w:rPr>
      </w:pPr>
      <w:r w:rsidRPr="001135B6">
        <w:rPr>
          <w:rFonts w:ascii="Calibri" w:hAnsi="Calibri" w:cs="Calibri"/>
          <w:b/>
          <w:sz w:val="22"/>
          <w:szCs w:val="22"/>
          <w:u w:val="single"/>
        </w:rPr>
        <w:t>Date d’affichage</w:t>
      </w:r>
      <w:r w:rsidRPr="001135B6">
        <w:rPr>
          <w:rFonts w:ascii="Calibri" w:hAnsi="Calibri" w:cs="Calibri"/>
          <w:b/>
          <w:sz w:val="22"/>
          <w:szCs w:val="22"/>
        </w:rPr>
        <w:t> :</w:t>
      </w:r>
      <w:r w:rsidRPr="001135B6">
        <w:rPr>
          <w:rFonts w:ascii="Calibri" w:hAnsi="Calibri" w:cs="Calibri"/>
          <w:b/>
          <w:sz w:val="22"/>
          <w:szCs w:val="22"/>
        </w:rPr>
        <w:tab/>
        <w:t>25 mai 2021</w:t>
      </w:r>
    </w:p>
    <w:p w:rsidR="004F638E" w:rsidRPr="001135B6" w:rsidRDefault="004F638E" w:rsidP="001135B6">
      <w:pPr>
        <w:ind w:right="-568"/>
        <w:jc w:val="both"/>
        <w:rPr>
          <w:rFonts w:ascii="Calibri" w:hAnsi="Calibri" w:cs="Calibri"/>
          <w:sz w:val="22"/>
          <w:szCs w:val="22"/>
        </w:rPr>
      </w:pPr>
    </w:p>
    <w:p w:rsidR="004F638E" w:rsidRPr="001135B6" w:rsidRDefault="004F638E" w:rsidP="001135B6">
      <w:pPr>
        <w:ind w:right="-1"/>
        <w:jc w:val="both"/>
        <w:rPr>
          <w:rFonts w:ascii="Calibri" w:hAnsi="Calibri" w:cs="Arial"/>
          <w:sz w:val="22"/>
          <w:szCs w:val="22"/>
        </w:rPr>
      </w:pPr>
      <w:r w:rsidRPr="001135B6">
        <w:rPr>
          <w:rFonts w:ascii="Calibri" w:hAnsi="Calibri" w:cs="Calibri"/>
          <w:sz w:val="22"/>
          <w:szCs w:val="22"/>
        </w:rPr>
        <w:t xml:space="preserve">L’an deux mil vingt et un, le premier juin à vingt heures, le Conseil Municipal de la commune de Mérobert, </w:t>
      </w:r>
      <w:r w:rsidRPr="001135B6">
        <w:rPr>
          <w:rFonts w:ascii="Calibri" w:hAnsi="Calibri" w:cs="Arial"/>
          <w:sz w:val="22"/>
          <w:szCs w:val="22"/>
        </w:rPr>
        <w:t>dûment convoqué, s’est réuni dans à la Salle des Fêtes, sous la présidence de M. Alain MARTIN, Maire.</w:t>
      </w:r>
    </w:p>
    <w:p w:rsidR="004F638E" w:rsidRPr="001135B6" w:rsidRDefault="004F638E" w:rsidP="001135B6">
      <w:pPr>
        <w:ind w:right="-1"/>
        <w:jc w:val="both"/>
        <w:rPr>
          <w:rFonts w:ascii="Calibri" w:hAnsi="Calibri" w:cs="Calibri"/>
          <w:sz w:val="22"/>
          <w:szCs w:val="22"/>
        </w:rPr>
      </w:pPr>
    </w:p>
    <w:p w:rsidR="004F638E" w:rsidRPr="001135B6" w:rsidRDefault="004F638E" w:rsidP="001135B6">
      <w:pPr>
        <w:ind w:right="-1"/>
        <w:jc w:val="both"/>
        <w:rPr>
          <w:rFonts w:ascii="Calibri" w:hAnsi="Calibri" w:cs="Arial"/>
          <w:sz w:val="22"/>
          <w:szCs w:val="22"/>
        </w:rPr>
      </w:pPr>
      <w:r w:rsidRPr="001135B6">
        <w:rPr>
          <w:rFonts w:ascii="Calibri" w:hAnsi="Calibri" w:cs="Arial"/>
          <w:b/>
          <w:sz w:val="22"/>
          <w:szCs w:val="22"/>
          <w:u w:val="single"/>
        </w:rPr>
        <w:t>Etaient présents</w:t>
      </w:r>
      <w:r w:rsidRPr="001135B6">
        <w:rPr>
          <w:rFonts w:ascii="Calibri" w:hAnsi="Calibri" w:cs="Arial"/>
          <w:sz w:val="22"/>
          <w:szCs w:val="22"/>
        </w:rPr>
        <w:t> : M. Arnauld DENICOLAÏ, 1</w:t>
      </w:r>
      <w:r w:rsidRPr="001135B6">
        <w:rPr>
          <w:rFonts w:ascii="Calibri" w:hAnsi="Calibri" w:cs="Arial"/>
          <w:sz w:val="22"/>
          <w:szCs w:val="22"/>
          <w:vertAlign w:val="superscript"/>
        </w:rPr>
        <w:t>er</w:t>
      </w:r>
      <w:r w:rsidRPr="001135B6">
        <w:rPr>
          <w:rFonts w:ascii="Calibri" w:hAnsi="Calibri" w:cs="Arial"/>
          <w:sz w:val="22"/>
          <w:szCs w:val="22"/>
        </w:rPr>
        <w:t xml:space="preserve"> Adjoint, Mmes Cynthia SAVARIT, 2</w:t>
      </w:r>
      <w:r w:rsidRPr="001135B6">
        <w:rPr>
          <w:rFonts w:ascii="Calibri" w:hAnsi="Calibri" w:cs="Arial"/>
          <w:sz w:val="22"/>
          <w:szCs w:val="22"/>
          <w:vertAlign w:val="superscript"/>
        </w:rPr>
        <w:t>ème</w:t>
      </w:r>
      <w:r w:rsidRPr="001135B6">
        <w:rPr>
          <w:rFonts w:ascii="Calibri" w:hAnsi="Calibri" w:cs="Arial"/>
          <w:sz w:val="22"/>
          <w:szCs w:val="22"/>
        </w:rPr>
        <w:t xml:space="preserve"> Adjointe, Marie Patricia LACRAMPE, 3</w:t>
      </w:r>
      <w:r w:rsidRPr="001135B6">
        <w:rPr>
          <w:rFonts w:ascii="Calibri" w:hAnsi="Calibri" w:cs="Arial"/>
          <w:sz w:val="22"/>
          <w:szCs w:val="22"/>
          <w:vertAlign w:val="superscript"/>
        </w:rPr>
        <w:t>ème</w:t>
      </w:r>
      <w:r w:rsidRPr="001135B6">
        <w:rPr>
          <w:rFonts w:ascii="Calibri" w:hAnsi="Calibri" w:cs="Arial"/>
          <w:sz w:val="22"/>
          <w:szCs w:val="22"/>
        </w:rPr>
        <w:t xml:space="preserve"> Adjointe, LEFEVRE Christine, 4</w:t>
      </w:r>
      <w:r w:rsidRPr="001135B6">
        <w:rPr>
          <w:rFonts w:ascii="Calibri" w:hAnsi="Calibri" w:cs="Arial"/>
          <w:sz w:val="22"/>
          <w:szCs w:val="22"/>
          <w:vertAlign w:val="superscript"/>
        </w:rPr>
        <w:t>ème</w:t>
      </w:r>
      <w:r w:rsidRPr="001135B6">
        <w:rPr>
          <w:rFonts w:ascii="Calibri" w:hAnsi="Calibri" w:cs="Arial"/>
          <w:sz w:val="22"/>
          <w:szCs w:val="22"/>
        </w:rPr>
        <w:t xml:space="preserve"> Adjointe, M. Patrick TESSIER, Mmes Patricia BORNAT, Madeleine BOURROUX, MM. Jean-Michel MARTIN, José LIÉBEAUX, Jérémy DAUVILLIERS, Emmanuel SAVARIT et Olivier LEFEBVRE</w:t>
      </w:r>
    </w:p>
    <w:p w:rsidR="004F638E" w:rsidRPr="001135B6" w:rsidRDefault="004F638E" w:rsidP="001135B6">
      <w:pPr>
        <w:ind w:right="-1"/>
        <w:jc w:val="both"/>
        <w:rPr>
          <w:rFonts w:ascii="Calibri" w:hAnsi="Calibri" w:cs="Arial"/>
          <w:sz w:val="22"/>
          <w:szCs w:val="22"/>
        </w:rPr>
      </w:pPr>
    </w:p>
    <w:p w:rsidR="004F638E" w:rsidRPr="001135B6" w:rsidRDefault="004F638E" w:rsidP="001135B6">
      <w:pPr>
        <w:ind w:right="-1"/>
        <w:jc w:val="both"/>
        <w:rPr>
          <w:rFonts w:ascii="Calibri" w:hAnsi="Calibri" w:cs="Arial"/>
          <w:sz w:val="22"/>
          <w:szCs w:val="22"/>
        </w:rPr>
      </w:pPr>
      <w:r w:rsidRPr="001135B6">
        <w:rPr>
          <w:rFonts w:ascii="Calibri" w:hAnsi="Calibri" w:cs="Arial"/>
          <w:b/>
          <w:sz w:val="22"/>
          <w:szCs w:val="22"/>
          <w:u w:val="single"/>
        </w:rPr>
        <w:t>Absents excusés représentés</w:t>
      </w:r>
      <w:r w:rsidRPr="001135B6">
        <w:rPr>
          <w:rFonts w:ascii="Calibri" w:hAnsi="Calibri" w:cs="Arial"/>
          <w:sz w:val="22"/>
          <w:szCs w:val="22"/>
        </w:rPr>
        <w:t> : Mme Danielle THEGARID, représentée par M. Alain MARTIN, Maire ; Mme Corine AYMERICH, représentée par Mme Marie Patricia LACRAMPE</w:t>
      </w:r>
    </w:p>
    <w:p w:rsidR="004F638E" w:rsidRPr="001135B6" w:rsidRDefault="004F638E" w:rsidP="001135B6">
      <w:pPr>
        <w:ind w:right="-1"/>
        <w:jc w:val="both"/>
        <w:rPr>
          <w:rFonts w:ascii="Calibri" w:hAnsi="Calibri" w:cs="Arial"/>
          <w:sz w:val="22"/>
          <w:szCs w:val="22"/>
        </w:rPr>
      </w:pPr>
    </w:p>
    <w:p w:rsidR="004F638E" w:rsidRPr="001135B6" w:rsidRDefault="004F638E" w:rsidP="001135B6">
      <w:pPr>
        <w:ind w:right="-1"/>
        <w:jc w:val="both"/>
        <w:rPr>
          <w:rFonts w:ascii="Calibri" w:hAnsi="Calibri" w:cs="Calibri"/>
          <w:sz w:val="22"/>
          <w:szCs w:val="22"/>
        </w:rPr>
      </w:pPr>
      <w:r w:rsidRPr="001135B6">
        <w:rPr>
          <w:rFonts w:ascii="Calibri" w:hAnsi="Calibri" w:cs="Calibri"/>
          <w:b/>
          <w:sz w:val="22"/>
          <w:szCs w:val="22"/>
          <w:u w:val="single"/>
        </w:rPr>
        <w:t>Secrétaire de séance</w:t>
      </w:r>
      <w:r w:rsidRPr="001135B6">
        <w:rPr>
          <w:rFonts w:ascii="Calibri" w:hAnsi="Calibri" w:cs="Calibri"/>
          <w:sz w:val="22"/>
          <w:szCs w:val="22"/>
        </w:rPr>
        <w:t> : Mme Patricia BORNAT</w:t>
      </w:r>
    </w:p>
    <w:p w:rsidR="004F638E" w:rsidRPr="001135B6" w:rsidRDefault="004F638E" w:rsidP="001135B6">
      <w:pPr>
        <w:tabs>
          <w:tab w:val="left" w:pos="6238"/>
        </w:tabs>
        <w:ind w:right="-1"/>
        <w:jc w:val="both"/>
        <w:rPr>
          <w:rFonts w:ascii="Calibri" w:hAnsi="Calibri" w:cs="Calibri"/>
          <w:sz w:val="22"/>
          <w:szCs w:val="22"/>
        </w:rPr>
      </w:pPr>
    </w:p>
    <w:p w:rsidR="004F638E" w:rsidRPr="001135B6" w:rsidRDefault="004F638E" w:rsidP="001135B6">
      <w:pPr>
        <w:tabs>
          <w:tab w:val="left" w:pos="6238"/>
        </w:tabs>
        <w:ind w:right="-1"/>
        <w:jc w:val="both"/>
        <w:rPr>
          <w:rFonts w:ascii="Calibri" w:hAnsi="Calibri" w:cs="Calibri"/>
          <w:sz w:val="22"/>
          <w:szCs w:val="22"/>
        </w:rPr>
      </w:pPr>
      <w:r w:rsidRPr="001135B6">
        <w:rPr>
          <w:rFonts w:ascii="Calibri" w:hAnsi="Calibri" w:cs="Calibri"/>
          <w:sz w:val="22"/>
          <w:szCs w:val="22"/>
        </w:rPr>
        <w:t>Le quorum étant atteint, le Conseil Municipal, peut délibérer.</w:t>
      </w:r>
    </w:p>
    <w:p w:rsidR="00F7203C" w:rsidRPr="001135B6" w:rsidRDefault="00F7203C" w:rsidP="001135B6">
      <w:pPr>
        <w:jc w:val="both"/>
        <w:rPr>
          <w:rFonts w:asciiTheme="minorHAnsi" w:hAnsiTheme="minorHAnsi" w:cstheme="minorHAnsi"/>
          <w:sz w:val="22"/>
          <w:szCs w:val="22"/>
        </w:rPr>
      </w:pPr>
    </w:p>
    <w:p w:rsidR="004C4368" w:rsidRPr="001135B6" w:rsidRDefault="004C4368" w:rsidP="001135B6">
      <w:pPr>
        <w:jc w:val="both"/>
        <w:rPr>
          <w:rFonts w:asciiTheme="minorHAnsi" w:hAnsiTheme="minorHAnsi" w:cstheme="minorHAnsi"/>
          <w:sz w:val="22"/>
          <w:szCs w:val="22"/>
        </w:rPr>
      </w:pPr>
    </w:p>
    <w:p w:rsidR="004C4368" w:rsidRPr="001135B6" w:rsidRDefault="004C4368" w:rsidP="001135B6">
      <w:pPr>
        <w:jc w:val="both"/>
        <w:rPr>
          <w:rFonts w:asciiTheme="minorHAnsi" w:hAnsiTheme="minorHAnsi" w:cstheme="minorHAnsi"/>
          <w:sz w:val="22"/>
          <w:szCs w:val="22"/>
        </w:rPr>
      </w:pPr>
      <w:r w:rsidRPr="001135B6">
        <w:rPr>
          <w:rFonts w:asciiTheme="minorHAnsi" w:hAnsiTheme="minorHAnsi" w:cstheme="minorHAnsi"/>
          <w:sz w:val="22"/>
          <w:szCs w:val="22"/>
        </w:rPr>
        <w:t>Monsieur le Maire informe les membres présents que la séance se déroulera en huis clos en raison de la crise sanitaire actuelle</w:t>
      </w:r>
      <w:r w:rsidR="00CD7DBD" w:rsidRPr="001135B6">
        <w:rPr>
          <w:rFonts w:asciiTheme="minorHAnsi" w:hAnsiTheme="minorHAnsi" w:cstheme="minorHAnsi"/>
          <w:sz w:val="22"/>
          <w:szCs w:val="22"/>
        </w:rPr>
        <w:t xml:space="preserve"> et </w:t>
      </w:r>
      <w:r w:rsidR="00576BC9" w:rsidRPr="001135B6">
        <w:rPr>
          <w:rFonts w:asciiTheme="minorHAnsi" w:hAnsiTheme="minorHAnsi" w:cstheme="minorHAnsi"/>
          <w:sz w:val="22"/>
          <w:szCs w:val="22"/>
        </w:rPr>
        <w:t>les mesures gouvernementales</w:t>
      </w:r>
      <w:r w:rsidR="00CD7DBD" w:rsidRPr="001135B6">
        <w:rPr>
          <w:rFonts w:asciiTheme="minorHAnsi" w:hAnsiTheme="minorHAnsi" w:cstheme="minorHAnsi"/>
          <w:sz w:val="22"/>
          <w:szCs w:val="22"/>
        </w:rPr>
        <w:t xml:space="preserve"> en vigueur</w:t>
      </w:r>
      <w:r w:rsidRPr="001135B6">
        <w:rPr>
          <w:rFonts w:asciiTheme="minorHAnsi" w:hAnsiTheme="minorHAnsi" w:cstheme="minorHAnsi"/>
          <w:sz w:val="22"/>
          <w:szCs w:val="22"/>
        </w:rPr>
        <w:t>.</w:t>
      </w:r>
    </w:p>
    <w:p w:rsidR="00D13210" w:rsidRPr="001135B6" w:rsidRDefault="00D13210" w:rsidP="001135B6">
      <w:pPr>
        <w:jc w:val="both"/>
        <w:rPr>
          <w:rFonts w:asciiTheme="minorHAnsi" w:hAnsiTheme="minorHAnsi" w:cstheme="minorHAnsi"/>
          <w:sz w:val="22"/>
          <w:szCs w:val="22"/>
        </w:rPr>
      </w:pPr>
    </w:p>
    <w:p w:rsidR="001135B6" w:rsidRPr="001135B6" w:rsidRDefault="001135B6" w:rsidP="001135B6">
      <w:pPr>
        <w:jc w:val="both"/>
        <w:rPr>
          <w:rFonts w:asciiTheme="minorHAnsi" w:hAnsiTheme="minorHAnsi" w:cstheme="minorHAnsi"/>
          <w:sz w:val="22"/>
          <w:szCs w:val="22"/>
        </w:rPr>
      </w:pPr>
    </w:p>
    <w:p w:rsidR="00F7203C" w:rsidRPr="001135B6" w:rsidRDefault="00F7203C" w:rsidP="001135B6">
      <w:pPr>
        <w:pStyle w:val="Textbody"/>
        <w:numPr>
          <w:ilvl w:val="0"/>
          <w:numId w:val="2"/>
        </w:numPr>
        <w:spacing w:after="0"/>
        <w:jc w:val="both"/>
        <w:rPr>
          <w:rFonts w:asciiTheme="minorHAnsi" w:hAnsiTheme="minorHAnsi" w:cstheme="minorHAnsi"/>
          <w:b/>
          <w:sz w:val="22"/>
          <w:szCs w:val="22"/>
          <w:u w:val="single"/>
        </w:rPr>
      </w:pPr>
      <w:r w:rsidRPr="001135B6">
        <w:rPr>
          <w:rFonts w:asciiTheme="minorHAnsi" w:hAnsiTheme="minorHAnsi" w:cstheme="minorHAnsi"/>
          <w:b/>
          <w:sz w:val="22"/>
          <w:szCs w:val="22"/>
          <w:u w:val="single"/>
        </w:rPr>
        <w:t xml:space="preserve">APPROBATION DU CONSEIL MUNICIPAL DU </w:t>
      </w:r>
      <w:r w:rsidR="003A2CA0" w:rsidRPr="001135B6">
        <w:rPr>
          <w:rFonts w:asciiTheme="minorHAnsi" w:hAnsiTheme="minorHAnsi" w:cstheme="minorHAnsi"/>
          <w:b/>
          <w:sz w:val="22"/>
          <w:szCs w:val="22"/>
          <w:u w:val="single"/>
        </w:rPr>
        <w:t>30 MARS 2021</w:t>
      </w:r>
    </w:p>
    <w:p w:rsidR="00F7203C" w:rsidRPr="001135B6" w:rsidRDefault="00F7203C" w:rsidP="00287461">
      <w:pPr>
        <w:jc w:val="both"/>
        <w:rPr>
          <w:rFonts w:asciiTheme="minorHAnsi" w:hAnsiTheme="minorHAnsi" w:cstheme="minorHAnsi"/>
          <w:sz w:val="22"/>
          <w:szCs w:val="22"/>
        </w:rPr>
      </w:pPr>
    </w:p>
    <w:p w:rsidR="00287461" w:rsidRPr="001135B6" w:rsidRDefault="00287461" w:rsidP="00287461">
      <w:pPr>
        <w:jc w:val="both"/>
        <w:rPr>
          <w:rFonts w:asciiTheme="minorHAnsi" w:hAnsiTheme="minorHAnsi" w:cstheme="minorHAnsi"/>
          <w:sz w:val="22"/>
          <w:szCs w:val="22"/>
        </w:rPr>
      </w:pPr>
      <w:r w:rsidRPr="001135B6">
        <w:rPr>
          <w:rFonts w:asciiTheme="minorHAnsi" w:hAnsiTheme="minorHAnsi" w:cstheme="minorHAnsi"/>
          <w:sz w:val="22"/>
          <w:szCs w:val="22"/>
        </w:rPr>
        <w:t>Monsieur le Maire donne lecture du</w:t>
      </w:r>
      <w:r w:rsidR="009009D1" w:rsidRPr="001135B6">
        <w:rPr>
          <w:rFonts w:asciiTheme="minorHAnsi" w:hAnsiTheme="minorHAnsi" w:cstheme="minorHAnsi"/>
          <w:sz w:val="22"/>
          <w:szCs w:val="22"/>
        </w:rPr>
        <w:t xml:space="preserve"> compte rendu de la réunion du Conseil M</w:t>
      </w:r>
      <w:r w:rsidRPr="001135B6">
        <w:rPr>
          <w:rFonts w:asciiTheme="minorHAnsi" w:hAnsiTheme="minorHAnsi" w:cstheme="minorHAnsi"/>
          <w:sz w:val="22"/>
          <w:szCs w:val="22"/>
        </w:rPr>
        <w:t>unicipal du</w:t>
      </w:r>
      <w:r w:rsidR="00E213CE" w:rsidRPr="001135B6">
        <w:rPr>
          <w:rFonts w:asciiTheme="minorHAnsi" w:hAnsiTheme="minorHAnsi" w:cstheme="minorHAnsi"/>
          <w:sz w:val="22"/>
          <w:szCs w:val="22"/>
        </w:rPr>
        <w:t xml:space="preserve"> </w:t>
      </w:r>
      <w:r w:rsidR="0098328F" w:rsidRPr="001135B6">
        <w:rPr>
          <w:rFonts w:asciiTheme="minorHAnsi" w:hAnsiTheme="minorHAnsi" w:cstheme="minorHAnsi"/>
          <w:sz w:val="22"/>
          <w:szCs w:val="22"/>
        </w:rPr>
        <w:t xml:space="preserve"> </w:t>
      </w:r>
      <w:r w:rsidR="00BB3C35" w:rsidRPr="001135B6">
        <w:rPr>
          <w:rFonts w:asciiTheme="minorHAnsi" w:hAnsiTheme="minorHAnsi" w:cstheme="minorHAnsi"/>
          <w:sz w:val="22"/>
          <w:szCs w:val="22"/>
        </w:rPr>
        <w:t xml:space="preserve"> </w:t>
      </w:r>
      <w:r w:rsidR="00652F0C" w:rsidRPr="001135B6">
        <w:rPr>
          <w:rFonts w:asciiTheme="minorHAnsi" w:hAnsiTheme="minorHAnsi" w:cstheme="minorHAnsi"/>
          <w:sz w:val="22"/>
          <w:szCs w:val="22"/>
        </w:rPr>
        <w:t xml:space="preserve">                                     </w:t>
      </w:r>
      <w:r w:rsidR="003A2CA0" w:rsidRPr="001135B6">
        <w:rPr>
          <w:rFonts w:asciiTheme="minorHAnsi" w:hAnsiTheme="minorHAnsi" w:cstheme="minorHAnsi"/>
          <w:sz w:val="22"/>
          <w:szCs w:val="22"/>
        </w:rPr>
        <w:t>30 mars 2021</w:t>
      </w:r>
      <w:r w:rsidRPr="001135B6">
        <w:rPr>
          <w:rFonts w:asciiTheme="minorHAnsi" w:hAnsiTheme="minorHAnsi" w:cstheme="minorHAnsi"/>
          <w:sz w:val="22"/>
          <w:szCs w:val="22"/>
        </w:rPr>
        <w:t xml:space="preserve"> et demande aux conseillers s’ils sont d’accord sur les termes et si </w:t>
      </w:r>
      <w:r w:rsidR="00C477E7" w:rsidRPr="001135B6">
        <w:rPr>
          <w:rFonts w:asciiTheme="minorHAnsi" w:hAnsiTheme="minorHAnsi" w:cstheme="minorHAnsi"/>
          <w:sz w:val="22"/>
          <w:szCs w:val="22"/>
        </w:rPr>
        <w:t xml:space="preserve">celui-ci </w:t>
      </w:r>
      <w:r w:rsidRPr="001135B6">
        <w:rPr>
          <w:rFonts w:asciiTheme="minorHAnsi" w:hAnsiTheme="minorHAnsi" w:cstheme="minorHAnsi"/>
          <w:sz w:val="22"/>
          <w:szCs w:val="22"/>
        </w:rPr>
        <w:t>est bien le reflet de la réunion.</w:t>
      </w:r>
    </w:p>
    <w:p w:rsidR="00287461" w:rsidRPr="001135B6" w:rsidRDefault="00287461" w:rsidP="00287461">
      <w:pPr>
        <w:jc w:val="both"/>
        <w:rPr>
          <w:rFonts w:asciiTheme="minorHAnsi" w:hAnsiTheme="minorHAnsi" w:cstheme="minorHAnsi"/>
          <w:bCs/>
          <w:sz w:val="22"/>
          <w:szCs w:val="22"/>
        </w:rPr>
      </w:pPr>
    </w:p>
    <w:p w:rsidR="00287461" w:rsidRPr="001135B6" w:rsidRDefault="009009D1" w:rsidP="00287461">
      <w:pPr>
        <w:jc w:val="both"/>
        <w:rPr>
          <w:rFonts w:asciiTheme="minorHAnsi" w:hAnsiTheme="minorHAnsi" w:cstheme="minorHAnsi"/>
          <w:sz w:val="22"/>
          <w:szCs w:val="22"/>
        </w:rPr>
      </w:pPr>
      <w:r w:rsidRPr="001135B6">
        <w:rPr>
          <w:rFonts w:asciiTheme="minorHAnsi" w:hAnsiTheme="minorHAnsi" w:cstheme="minorHAnsi"/>
          <w:sz w:val="22"/>
          <w:szCs w:val="22"/>
        </w:rPr>
        <w:t>Le Conseil M</w:t>
      </w:r>
      <w:r w:rsidR="00287461" w:rsidRPr="001135B6">
        <w:rPr>
          <w:rFonts w:asciiTheme="minorHAnsi" w:hAnsiTheme="minorHAnsi" w:cstheme="minorHAnsi"/>
          <w:sz w:val="22"/>
          <w:szCs w:val="22"/>
        </w:rPr>
        <w:t>unicipal adopte à l’unanimité le compte rendu de la dernière réunion.</w:t>
      </w:r>
    </w:p>
    <w:p w:rsidR="00287461" w:rsidRPr="001135B6" w:rsidRDefault="00287461" w:rsidP="00287461">
      <w:pPr>
        <w:rPr>
          <w:rFonts w:asciiTheme="minorHAnsi" w:hAnsiTheme="minorHAnsi" w:cstheme="minorHAnsi"/>
          <w:sz w:val="22"/>
          <w:szCs w:val="22"/>
        </w:rPr>
      </w:pPr>
    </w:p>
    <w:p w:rsidR="00D13210" w:rsidRPr="001135B6" w:rsidRDefault="00D13210" w:rsidP="00287461">
      <w:pPr>
        <w:rPr>
          <w:rFonts w:asciiTheme="minorHAnsi" w:hAnsiTheme="minorHAnsi" w:cstheme="minorHAnsi"/>
          <w:sz w:val="22"/>
          <w:szCs w:val="22"/>
        </w:rPr>
      </w:pPr>
    </w:p>
    <w:p w:rsidR="009711AE" w:rsidRPr="001135B6" w:rsidRDefault="003A2CA0" w:rsidP="00B17FE5">
      <w:pPr>
        <w:pStyle w:val="Paragraphedeliste"/>
        <w:rPr>
          <w:rFonts w:cs="Arial"/>
          <w:b/>
          <w:sz w:val="22"/>
          <w:szCs w:val="22"/>
        </w:rPr>
      </w:pPr>
      <w:r w:rsidRPr="001135B6">
        <w:rPr>
          <w:rFonts w:asciiTheme="minorHAnsi" w:hAnsiTheme="minorHAnsi" w:cstheme="minorHAnsi"/>
          <w:b/>
          <w:sz w:val="22"/>
          <w:szCs w:val="22"/>
          <w:u w:val="single"/>
        </w:rPr>
        <w:t>DCM 2021/1</w:t>
      </w:r>
      <w:r w:rsidR="00B17FE5" w:rsidRPr="001135B6">
        <w:rPr>
          <w:rFonts w:asciiTheme="minorHAnsi" w:hAnsiTheme="minorHAnsi" w:cstheme="minorHAnsi"/>
          <w:b/>
          <w:sz w:val="22"/>
          <w:szCs w:val="22"/>
          <w:u w:val="single"/>
        </w:rPr>
        <w:t>1</w:t>
      </w:r>
      <w:r w:rsidR="002E28C1" w:rsidRPr="001135B6">
        <w:rPr>
          <w:rFonts w:asciiTheme="minorHAnsi" w:hAnsiTheme="minorHAnsi" w:cstheme="minorHAnsi"/>
          <w:b/>
          <w:sz w:val="22"/>
          <w:szCs w:val="22"/>
          <w:u w:val="single"/>
        </w:rPr>
        <w:t xml:space="preserve"> : </w:t>
      </w:r>
      <w:r w:rsidR="008263A7" w:rsidRPr="001135B6">
        <w:rPr>
          <w:rFonts w:asciiTheme="minorHAnsi" w:hAnsiTheme="minorHAnsi" w:cstheme="minorHAnsi"/>
          <w:b/>
          <w:sz w:val="22"/>
          <w:szCs w:val="22"/>
          <w:u w:val="single"/>
        </w:rPr>
        <w:t>VOTE DES DEUX TAXES</w:t>
      </w:r>
    </w:p>
    <w:p w:rsidR="00B17FE5" w:rsidRPr="001135B6" w:rsidRDefault="00B17FE5" w:rsidP="00B17FE5">
      <w:pPr>
        <w:tabs>
          <w:tab w:val="left" w:pos="6238"/>
        </w:tabs>
        <w:jc w:val="both"/>
        <w:rPr>
          <w:rFonts w:ascii="Calibri" w:hAnsi="Calibri" w:cs="Arial"/>
          <w:sz w:val="22"/>
          <w:szCs w:val="22"/>
        </w:rPr>
      </w:pPr>
    </w:p>
    <w:p w:rsidR="008A24AE" w:rsidRPr="001135B6" w:rsidRDefault="008A24AE" w:rsidP="008A24AE">
      <w:pPr>
        <w:rPr>
          <w:rFonts w:ascii="Calibri" w:hAnsi="Calibri" w:cs="Arial"/>
          <w:sz w:val="22"/>
          <w:szCs w:val="22"/>
        </w:rPr>
      </w:pPr>
      <w:r w:rsidRPr="001135B6">
        <w:rPr>
          <w:rFonts w:ascii="Calibri" w:hAnsi="Calibri" w:cs="Arial"/>
          <w:b/>
          <w:sz w:val="22"/>
          <w:szCs w:val="22"/>
        </w:rPr>
        <w:t xml:space="preserve">Considérant </w:t>
      </w:r>
      <w:r w:rsidRPr="001135B6">
        <w:rPr>
          <w:rFonts w:ascii="Calibri" w:hAnsi="Calibri" w:cs="Arial"/>
          <w:sz w:val="22"/>
          <w:szCs w:val="22"/>
        </w:rPr>
        <w:t>l’état 1259 présenté par les impôts concernant le vote des 2 taxes directes locales pour 2021 (Taxe Foncière « Bâti », Taxe Foncière « Non Bâti ») ;</w:t>
      </w:r>
    </w:p>
    <w:p w:rsidR="008A24AE" w:rsidRPr="001135B6" w:rsidRDefault="008A24AE" w:rsidP="008A24AE">
      <w:pPr>
        <w:jc w:val="both"/>
        <w:rPr>
          <w:rFonts w:ascii="Calibri" w:hAnsi="Calibri" w:cs="Arial"/>
          <w:sz w:val="22"/>
          <w:szCs w:val="22"/>
        </w:rPr>
      </w:pPr>
      <w:r w:rsidRPr="001135B6">
        <w:rPr>
          <w:rFonts w:ascii="Calibri" w:hAnsi="Calibri" w:cs="Arial"/>
          <w:b/>
          <w:sz w:val="22"/>
          <w:szCs w:val="22"/>
        </w:rPr>
        <w:t>Considérant</w:t>
      </w:r>
      <w:r w:rsidRPr="001135B6">
        <w:rPr>
          <w:rFonts w:ascii="Calibri" w:hAnsi="Calibri" w:cs="Arial"/>
          <w:sz w:val="22"/>
          <w:szCs w:val="22"/>
        </w:rPr>
        <w:t xml:space="preserve"> l’article 16 de la Loi de Finances pour 2020, précisant que les parts communales et départementales de la Taxe Foncière sur les Propriétés Bâties (TFPB) sont fusionnées et affectées aux communes dès 2021 en compensation de la perte de la Taxe d’Habitation (TH) sur les résidences principales ;</w:t>
      </w:r>
    </w:p>
    <w:p w:rsidR="008A24AE" w:rsidRPr="001135B6" w:rsidRDefault="008A24AE" w:rsidP="008A24AE">
      <w:pPr>
        <w:jc w:val="both"/>
        <w:rPr>
          <w:rFonts w:ascii="Calibri" w:hAnsi="Calibri" w:cs="Arial"/>
          <w:sz w:val="22"/>
          <w:szCs w:val="22"/>
        </w:rPr>
      </w:pPr>
      <w:r w:rsidRPr="001135B6">
        <w:rPr>
          <w:rFonts w:ascii="Calibri" w:hAnsi="Calibri" w:cs="Arial"/>
          <w:b/>
          <w:sz w:val="22"/>
          <w:szCs w:val="22"/>
        </w:rPr>
        <w:t>Considérant</w:t>
      </w:r>
      <w:r w:rsidRPr="001135B6">
        <w:rPr>
          <w:rFonts w:ascii="Calibri" w:hAnsi="Calibri" w:cs="Arial"/>
          <w:sz w:val="22"/>
          <w:szCs w:val="22"/>
        </w:rPr>
        <w:t xml:space="preserve"> la réforme fiscale déterminant le coefficient correcteur communal, indiquant que la sur ou sous-compensation est neutralisée chaque année à compter de 2021, par l’application d’un coefficient correcteur au produit TFPB qui aurait résulté du maintien des taux à leur niveau de 2020, et à l’allocation </w:t>
      </w:r>
      <w:r w:rsidRPr="001135B6">
        <w:rPr>
          <w:rFonts w:ascii="Calibri" w:hAnsi="Calibri" w:cs="Arial"/>
          <w:sz w:val="22"/>
          <w:szCs w:val="22"/>
        </w:rPr>
        <w:lastRenderedPageBreak/>
        <w:t>compensatrice TFPB relative à la diminution de moitié des valeurs locatives des locaux industriels (A du III de l’article 29 de la Loi de Finances pour 2021) ;</w:t>
      </w:r>
    </w:p>
    <w:p w:rsidR="008A24AE" w:rsidRPr="001135B6" w:rsidRDefault="008A24AE" w:rsidP="008A24AE">
      <w:pPr>
        <w:jc w:val="both"/>
        <w:rPr>
          <w:rFonts w:ascii="Calibri" w:hAnsi="Calibri" w:cs="Arial"/>
          <w:sz w:val="22"/>
          <w:szCs w:val="22"/>
        </w:rPr>
      </w:pPr>
      <w:r w:rsidRPr="001135B6">
        <w:rPr>
          <w:rFonts w:ascii="Calibri" w:hAnsi="Calibri" w:cs="Arial"/>
          <w:b/>
          <w:sz w:val="22"/>
          <w:szCs w:val="22"/>
        </w:rPr>
        <w:t>Considérant</w:t>
      </w:r>
      <w:r w:rsidRPr="001135B6">
        <w:rPr>
          <w:rFonts w:ascii="Calibri" w:hAnsi="Calibri" w:cs="Arial"/>
          <w:sz w:val="22"/>
          <w:szCs w:val="22"/>
        </w:rPr>
        <w:t xml:space="preserve"> la proposition d’appliquer une augmentation qui correspond à un coefficient de 1,049812 aux taux de 2020 pour l’année 2021 ;</w:t>
      </w:r>
    </w:p>
    <w:p w:rsidR="008A24AE" w:rsidRPr="001135B6" w:rsidRDefault="008A24AE" w:rsidP="008A24AE">
      <w:pPr>
        <w:jc w:val="both"/>
        <w:rPr>
          <w:rFonts w:ascii="Calibri" w:hAnsi="Calibri" w:cs="Arial"/>
          <w:sz w:val="22"/>
          <w:szCs w:val="22"/>
        </w:rPr>
      </w:pPr>
    </w:p>
    <w:p w:rsidR="008A24AE" w:rsidRPr="001135B6" w:rsidRDefault="008A24AE" w:rsidP="008A24AE">
      <w:pPr>
        <w:jc w:val="both"/>
        <w:rPr>
          <w:rFonts w:ascii="Calibri" w:hAnsi="Calibri" w:cs="Arial"/>
          <w:sz w:val="22"/>
          <w:szCs w:val="22"/>
        </w:rPr>
      </w:pPr>
      <w:r w:rsidRPr="001135B6">
        <w:rPr>
          <w:rFonts w:ascii="Calibri" w:hAnsi="Calibri" w:cs="Arial"/>
          <w:sz w:val="22"/>
          <w:szCs w:val="22"/>
        </w:rPr>
        <w:t>Le Conseil Municipal, après en avoir délibéré à 8 voix pour et 3 contre et 4 abstentions :</w:t>
      </w:r>
    </w:p>
    <w:p w:rsidR="008A24AE" w:rsidRPr="001135B6" w:rsidRDefault="008A24AE" w:rsidP="008A24AE">
      <w:pPr>
        <w:rPr>
          <w:rFonts w:ascii="Calibri" w:hAnsi="Calibri" w:cs="Arial"/>
          <w:sz w:val="22"/>
          <w:szCs w:val="22"/>
        </w:rPr>
      </w:pPr>
    </w:p>
    <w:p w:rsidR="008A24AE" w:rsidRPr="001135B6" w:rsidRDefault="008A24AE" w:rsidP="008A24AE">
      <w:pPr>
        <w:numPr>
          <w:ilvl w:val="0"/>
          <w:numId w:val="24"/>
        </w:numPr>
        <w:rPr>
          <w:rFonts w:ascii="Calibri" w:hAnsi="Calibri" w:cs="Arial"/>
          <w:sz w:val="22"/>
          <w:szCs w:val="22"/>
        </w:rPr>
      </w:pPr>
      <w:r w:rsidRPr="001135B6">
        <w:rPr>
          <w:rFonts w:ascii="Calibri" w:hAnsi="Calibri" w:cs="Arial"/>
          <w:b/>
          <w:sz w:val="22"/>
          <w:szCs w:val="22"/>
        </w:rPr>
        <w:t>Adopte</w:t>
      </w:r>
      <w:r w:rsidRPr="001135B6">
        <w:rPr>
          <w:rFonts w:ascii="Calibri" w:hAnsi="Calibri" w:cs="Arial"/>
          <w:sz w:val="22"/>
          <w:szCs w:val="22"/>
        </w:rPr>
        <w:t xml:space="preserve"> le vote des taxes suivantes :</w:t>
      </w:r>
    </w:p>
    <w:p w:rsidR="008A24AE" w:rsidRPr="001135B6" w:rsidRDefault="008A24AE" w:rsidP="008A24AE">
      <w:pPr>
        <w:rPr>
          <w:rFonts w:ascii="Calibri" w:hAnsi="Calibri" w:cs="Arial"/>
          <w:sz w:val="22"/>
          <w:szCs w:val="22"/>
        </w:rPr>
      </w:pPr>
    </w:p>
    <w:tbl>
      <w:tblPr>
        <w:tblW w:w="10152" w:type="dxa"/>
        <w:tblInd w:w="-45" w:type="dxa"/>
        <w:tblLayout w:type="fixed"/>
        <w:tblCellMar>
          <w:left w:w="70" w:type="dxa"/>
          <w:right w:w="70" w:type="dxa"/>
        </w:tblCellMar>
        <w:tblLook w:val="04A0" w:firstRow="1" w:lastRow="0" w:firstColumn="1" w:lastColumn="0" w:noHBand="0" w:noVBand="1"/>
      </w:tblPr>
      <w:tblGrid>
        <w:gridCol w:w="5417"/>
        <w:gridCol w:w="1701"/>
        <w:gridCol w:w="992"/>
        <w:gridCol w:w="2042"/>
      </w:tblGrid>
      <w:tr w:rsidR="008A24AE" w:rsidRPr="001135B6" w:rsidTr="001135B6">
        <w:trPr>
          <w:trHeight w:val="254"/>
        </w:trPr>
        <w:tc>
          <w:tcPr>
            <w:tcW w:w="5417" w:type="dxa"/>
            <w:tcBorders>
              <w:top w:val="single" w:sz="12" w:space="0" w:color="auto"/>
              <w:left w:val="single" w:sz="12" w:space="0" w:color="auto"/>
              <w:bottom w:val="single" w:sz="6" w:space="0" w:color="auto"/>
              <w:right w:val="single" w:sz="6" w:space="0" w:color="auto"/>
            </w:tcBorders>
          </w:tcPr>
          <w:p w:rsidR="008A24AE" w:rsidRPr="001135B6" w:rsidRDefault="008A24AE" w:rsidP="00A8019A">
            <w:pPr>
              <w:rPr>
                <w:rFonts w:ascii="Calibri" w:hAnsi="Calibri" w:cs="Arial"/>
                <w:sz w:val="22"/>
                <w:szCs w:val="22"/>
              </w:rPr>
            </w:pPr>
          </w:p>
        </w:tc>
        <w:tc>
          <w:tcPr>
            <w:tcW w:w="1701" w:type="dxa"/>
            <w:tcBorders>
              <w:top w:val="single" w:sz="12" w:space="0" w:color="auto"/>
              <w:left w:val="single" w:sz="6" w:space="0" w:color="auto"/>
              <w:bottom w:val="single" w:sz="6" w:space="0" w:color="auto"/>
              <w:right w:val="single" w:sz="6" w:space="0" w:color="auto"/>
            </w:tcBorders>
            <w:hideMark/>
          </w:tcPr>
          <w:p w:rsidR="008A24AE" w:rsidRPr="001135B6" w:rsidRDefault="008A24AE" w:rsidP="00A8019A">
            <w:pPr>
              <w:jc w:val="center"/>
              <w:rPr>
                <w:rFonts w:ascii="Calibri" w:hAnsi="Calibri" w:cs="Arial"/>
                <w:b/>
                <w:bCs/>
                <w:sz w:val="22"/>
                <w:szCs w:val="22"/>
              </w:rPr>
            </w:pPr>
            <w:r w:rsidRPr="001135B6">
              <w:rPr>
                <w:rFonts w:ascii="Calibri" w:hAnsi="Calibri" w:cs="Arial"/>
                <w:b/>
                <w:bCs/>
                <w:sz w:val="22"/>
                <w:szCs w:val="22"/>
              </w:rPr>
              <w:t>Bases Imposition 2021</w:t>
            </w:r>
          </w:p>
        </w:tc>
        <w:tc>
          <w:tcPr>
            <w:tcW w:w="992" w:type="dxa"/>
            <w:tcBorders>
              <w:top w:val="single" w:sz="12" w:space="0" w:color="auto"/>
              <w:left w:val="single" w:sz="6" w:space="0" w:color="auto"/>
              <w:bottom w:val="single" w:sz="6" w:space="0" w:color="auto"/>
              <w:right w:val="single" w:sz="6" w:space="0" w:color="auto"/>
            </w:tcBorders>
            <w:hideMark/>
          </w:tcPr>
          <w:p w:rsidR="008A24AE" w:rsidRPr="001135B6" w:rsidRDefault="008A24AE" w:rsidP="00A8019A">
            <w:pPr>
              <w:jc w:val="center"/>
              <w:rPr>
                <w:rFonts w:ascii="Calibri" w:hAnsi="Calibri" w:cs="Arial"/>
                <w:b/>
                <w:bCs/>
                <w:sz w:val="22"/>
                <w:szCs w:val="22"/>
              </w:rPr>
            </w:pPr>
            <w:r w:rsidRPr="001135B6">
              <w:rPr>
                <w:rFonts w:ascii="Calibri" w:hAnsi="Calibri" w:cs="Arial"/>
                <w:b/>
                <w:bCs/>
                <w:sz w:val="22"/>
                <w:szCs w:val="22"/>
              </w:rPr>
              <w:t>Taux 2021</w:t>
            </w:r>
          </w:p>
        </w:tc>
        <w:tc>
          <w:tcPr>
            <w:tcW w:w="2042" w:type="dxa"/>
            <w:tcBorders>
              <w:top w:val="single" w:sz="12" w:space="0" w:color="auto"/>
              <w:left w:val="single" w:sz="6" w:space="0" w:color="auto"/>
              <w:bottom w:val="single" w:sz="6" w:space="0" w:color="auto"/>
              <w:right w:val="single" w:sz="12" w:space="0" w:color="auto"/>
            </w:tcBorders>
            <w:hideMark/>
          </w:tcPr>
          <w:p w:rsidR="008A24AE" w:rsidRPr="001135B6" w:rsidRDefault="008A24AE" w:rsidP="00A8019A">
            <w:pPr>
              <w:jc w:val="center"/>
              <w:rPr>
                <w:rFonts w:ascii="Calibri" w:hAnsi="Calibri" w:cs="Arial"/>
                <w:b/>
                <w:bCs/>
                <w:sz w:val="22"/>
                <w:szCs w:val="22"/>
              </w:rPr>
            </w:pPr>
            <w:r w:rsidRPr="001135B6">
              <w:rPr>
                <w:rFonts w:ascii="Calibri" w:hAnsi="Calibri" w:cs="Arial"/>
                <w:b/>
                <w:bCs/>
                <w:sz w:val="22"/>
                <w:szCs w:val="22"/>
              </w:rPr>
              <w:t>Produit</w:t>
            </w:r>
          </w:p>
        </w:tc>
      </w:tr>
      <w:tr w:rsidR="008A24AE" w:rsidRPr="001135B6" w:rsidTr="001135B6">
        <w:trPr>
          <w:trHeight w:val="202"/>
        </w:trPr>
        <w:tc>
          <w:tcPr>
            <w:tcW w:w="5417" w:type="dxa"/>
            <w:tcBorders>
              <w:top w:val="single" w:sz="6" w:space="0" w:color="auto"/>
              <w:left w:val="single" w:sz="12" w:space="0" w:color="auto"/>
              <w:bottom w:val="single" w:sz="6" w:space="0" w:color="auto"/>
              <w:right w:val="single" w:sz="6" w:space="0" w:color="auto"/>
            </w:tcBorders>
            <w:hideMark/>
          </w:tcPr>
          <w:p w:rsidR="008A24AE" w:rsidRPr="001135B6" w:rsidRDefault="008A24AE" w:rsidP="00A8019A">
            <w:pPr>
              <w:rPr>
                <w:rFonts w:ascii="Calibri" w:hAnsi="Calibri" w:cs="Arial"/>
                <w:b/>
                <w:sz w:val="22"/>
                <w:szCs w:val="22"/>
              </w:rPr>
            </w:pPr>
            <w:r w:rsidRPr="001135B6">
              <w:rPr>
                <w:rFonts w:ascii="Calibri" w:hAnsi="Calibri" w:cs="Arial"/>
                <w:b/>
                <w:sz w:val="22"/>
                <w:szCs w:val="22"/>
              </w:rPr>
              <w:t>Taxe Foncière (Bâti)</w:t>
            </w:r>
          </w:p>
        </w:tc>
        <w:tc>
          <w:tcPr>
            <w:tcW w:w="1701" w:type="dxa"/>
            <w:tcBorders>
              <w:top w:val="single" w:sz="6" w:space="0" w:color="auto"/>
              <w:left w:val="single" w:sz="6" w:space="0" w:color="auto"/>
              <w:bottom w:val="single" w:sz="6" w:space="0" w:color="auto"/>
              <w:right w:val="single" w:sz="6" w:space="0" w:color="auto"/>
            </w:tcBorders>
          </w:tcPr>
          <w:p w:rsidR="008A24AE" w:rsidRPr="001135B6" w:rsidRDefault="008A24AE" w:rsidP="00A8019A">
            <w:pPr>
              <w:jc w:val="right"/>
              <w:rPr>
                <w:rFonts w:ascii="Calibri" w:hAnsi="Calibri" w:cs="Arial"/>
                <w:b/>
                <w:sz w:val="22"/>
                <w:szCs w:val="22"/>
              </w:rPr>
            </w:pPr>
            <w:r w:rsidRPr="001135B6">
              <w:rPr>
                <w:rFonts w:ascii="Calibri" w:hAnsi="Calibri" w:cs="Arial"/>
                <w:b/>
                <w:sz w:val="22"/>
                <w:szCs w:val="22"/>
              </w:rPr>
              <w:t>487 700,00 €</w:t>
            </w:r>
          </w:p>
        </w:tc>
        <w:tc>
          <w:tcPr>
            <w:tcW w:w="992" w:type="dxa"/>
            <w:tcBorders>
              <w:top w:val="single" w:sz="6" w:space="0" w:color="auto"/>
              <w:left w:val="single" w:sz="6" w:space="0" w:color="auto"/>
              <w:bottom w:val="single" w:sz="6" w:space="0" w:color="auto"/>
              <w:right w:val="single" w:sz="6" w:space="0" w:color="auto"/>
            </w:tcBorders>
          </w:tcPr>
          <w:p w:rsidR="008A24AE" w:rsidRPr="001135B6" w:rsidRDefault="008A24AE" w:rsidP="00A8019A">
            <w:pPr>
              <w:jc w:val="center"/>
              <w:rPr>
                <w:rFonts w:ascii="Calibri" w:hAnsi="Calibri" w:cs="Arial"/>
                <w:b/>
                <w:sz w:val="22"/>
                <w:szCs w:val="22"/>
              </w:rPr>
            </w:pPr>
            <w:r w:rsidRPr="001135B6">
              <w:rPr>
                <w:rFonts w:ascii="Calibri" w:hAnsi="Calibri" w:cs="Arial"/>
                <w:b/>
                <w:sz w:val="22"/>
                <w:szCs w:val="22"/>
              </w:rPr>
              <w:t>31,20%</w:t>
            </w:r>
          </w:p>
        </w:tc>
        <w:tc>
          <w:tcPr>
            <w:tcW w:w="2042" w:type="dxa"/>
            <w:tcBorders>
              <w:top w:val="single" w:sz="6" w:space="0" w:color="auto"/>
              <w:left w:val="single" w:sz="6" w:space="0" w:color="auto"/>
              <w:bottom w:val="single" w:sz="6" w:space="0" w:color="auto"/>
              <w:right w:val="single" w:sz="12" w:space="0" w:color="auto"/>
            </w:tcBorders>
          </w:tcPr>
          <w:p w:rsidR="008A24AE" w:rsidRPr="001135B6" w:rsidRDefault="008A24AE" w:rsidP="00A8019A">
            <w:pPr>
              <w:jc w:val="right"/>
              <w:rPr>
                <w:rFonts w:ascii="Calibri" w:hAnsi="Calibri" w:cs="Arial"/>
                <w:b/>
                <w:sz w:val="22"/>
                <w:szCs w:val="22"/>
              </w:rPr>
            </w:pPr>
            <w:r w:rsidRPr="001135B6">
              <w:rPr>
                <w:rFonts w:ascii="Calibri" w:hAnsi="Calibri" w:cs="Arial"/>
                <w:b/>
                <w:sz w:val="22"/>
                <w:szCs w:val="22"/>
              </w:rPr>
              <w:t>152 162,00 €</w:t>
            </w:r>
          </w:p>
        </w:tc>
      </w:tr>
      <w:tr w:rsidR="008A24AE" w:rsidRPr="001135B6" w:rsidTr="001135B6">
        <w:trPr>
          <w:trHeight w:val="206"/>
        </w:trPr>
        <w:tc>
          <w:tcPr>
            <w:tcW w:w="5417" w:type="dxa"/>
            <w:tcBorders>
              <w:top w:val="single" w:sz="6" w:space="0" w:color="auto"/>
              <w:left w:val="single" w:sz="12" w:space="0" w:color="auto"/>
              <w:bottom w:val="single" w:sz="6" w:space="0" w:color="auto"/>
              <w:right w:val="single" w:sz="6" w:space="0" w:color="auto"/>
            </w:tcBorders>
            <w:hideMark/>
          </w:tcPr>
          <w:p w:rsidR="008A24AE" w:rsidRPr="001135B6" w:rsidRDefault="008A24AE" w:rsidP="00A8019A">
            <w:pPr>
              <w:rPr>
                <w:rFonts w:ascii="Calibri" w:hAnsi="Calibri" w:cs="Arial"/>
                <w:b/>
                <w:sz w:val="22"/>
                <w:szCs w:val="22"/>
              </w:rPr>
            </w:pPr>
            <w:r w:rsidRPr="001135B6">
              <w:rPr>
                <w:rFonts w:ascii="Calibri" w:hAnsi="Calibri" w:cs="Arial"/>
                <w:b/>
                <w:sz w:val="22"/>
                <w:szCs w:val="22"/>
              </w:rPr>
              <w:t>Taxe Foncière (Non Bâti)</w:t>
            </w:r>
          </w:p>
        </w:tc>
        <w:tc>
          <w:tcPr>
            <w:tcW w:w="1701" w:type="dxa"/>
            <w:tcBorders>
              <w:top w:val="single" w:sz="6" w:space="0" w:color="auto"/>
              <w:left w:val="single" w:sz="6" w:space="0" w:color="auto"/>
              <w:bottom w:val="single" w:sz="6" w:space="0" w:color="auto"/>
              <w:right w:val="single" w:sz="6" w:space="0" w:color="auto"/>
            </w:tcBorders>
          </w:tcPr>
          <w:p w:rsidR="008A24AE" w:rsidRPr="001135B6" w:rsidRDefault="008A24AE" w:rsidP="00A8019A">
            <w:pPr>
              <w:jc w:val="right"/>
              <w:rPr>
                <w:rFonts w:ascii="Calibri" w:hAnsi="Calibri" w:cs="Arial"/>
                <w:b/>
                <w:sz w:val="22"/>
                <w:szCs w:val="22"/>
              </w:rPr>
            </w:pPr>
            <w:r w:rsidRPr="001135B6">
              <w:rPr>
                <w:rFonts w:ascii="Calibri" w:hAnsi="Calibri" w:cs="Arial"/>
                <w:b/>
                <w:sz w:val="22"/>
                <w:szCs w:val="22"/>
              </w:rPr>
              <w:t>58 800,00 €</w:t>
            </w:r>
          </w:p>
        </w:tc>
        <w:tc>
          <w:tcPr>
            <w:tcW w:w="992" w:type="dxa"/>
            <w:tcBorders>
              <w:top w:val="single" w:sz="6" w:space="0" w:color="auto"/>
              <w:left w:val="single" w:sz="6" w:space="0" w:color="auto"/>
              <w:bottom w:val="single" w:sz="6" w:space="0" w:color="auto"/>
              <w:right w:val="single" w:sz="6" w:space="0" w:color="auto"/>
            </w:tcBorders>
          </w:tcPr>
          <w:p w:rsidR="008A24AE" w:rsidRPr="001135B6" w:rsidRDefault="008A24AE" w:rsidP="00A8019A">
            <w:pPr>
              <w:jc w:val="center"/>
              <w:rPr>
                <w:rFonts w:ascii="Calibri" w:hAnsi="Calibri" w:cs="Arial"/>
                <w:b/>
                <w:sz w:val="22"/>
                <w:szCs w:val="22"/>
              </w:rPr>
            </w:pPr>
            <w:r w:rsidRPr="001135B6">
              <w:rPr>
                <w:rFonts w:ascii="Calibri" w:hAnsi="Calibri" w:cs="Arial"/>
                <w:b/>
                <w:sz w:val="22"/>
                <w:szCs w:val="22"/>
              </w:rPr>
              <w:t>46,06%</w:t>
            </w:r>
          </w:p>
        </w:tc>
        <w:tc>
          <w:tcPr>
            <w:tcW w:w="2042" w:type="dxa"/>
            <w:tcBorders>
              <w:top w:val="single" w:sz="6" w:space="0" w:color="auto"/>
              <w:left w:val="single" w:sz="6" w:space="0" w:color="auto"/>
              <w:bottom w:val="single" w:sz="6" w:space="0" w:color="auto"/>
              <w:right w:val="single" w:sz="12" w:space="0" w:color="auto"/>
            </w:tcBorders>
          </w:tcPr>
          <w:p w:rsidR="008A24AE" w:rsidRPr="001135B6" w:rsidRDefault="008A24AE" w:rsidP="00A8019A">
            <w:pPr>
              <w:jc w:val="right"/>
              <w:rPr>
                <w:rFonts w:ascii="Calibri" w:hAnsi="Calibri" w:cs="Arial"/>
                <w:b/>
                <w:sz w:val="22"/>
                <w:szCs w:val="22"/>
              </w:rPr>
            </w:pPr>
            <w:r w:rsidRPr="001135B6">
              <w:rPr>
                <w:rFonts w:ascii="Calibri" w:hAnsi="Calibri" w:cs="Arial"/>
                <w:b/>
                <w:sz w:val="22"/>
                <w:szCs w:val="22"/>
              </w:rPr>
              <w:t>27 083,00 €</w:t>
            </w:r>
          </w:p>
        </w:tc>
      </w:tr>
      <w:tr w:rsidR="008A24AE" w:rsidRPr="001135B6" w:rsidTr="001135B6">
        <w:trPr>
          <w:trHeight w:val="238"/>
        </w:trPr>
        <w:tc>
          <w:tcPr>
            <w:tcW w:w="5417" w:type="dxa"/>
            <w:tcBorders>
              <w:top w:val="single" w:sz="6" w:space="0" w:color="auto"/>
              <w:left w:val="single" w:sz="12"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r w:rsidRPr="001135B6">
              <w:rPr>
                <w:rFonts w:ascii="Calibri" w:hAnsi="Calibri" w:cs="Arial"/>
                <w:b/>
                <w:sz w:val="22"/>
                <w:szCs w:val="22"/>
              </w:rPr>
              <w:t>THRS (Taxe d’Habitation sur les Résidences Secondaires)</w:t>
            </w:r>
          </w:p>
        </w:tc>
        <w:tc>
          <w:tcPr>
            <w:tcW w:w="1701"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2042" w:type="dxa"/>
            <w:tcBorders>
              <w:top w:val="single" w:sz="6" w:space="0" w:color="auto"/>
              <w:left w:val="single" w:sz="6" w:space="0" w:color="auto"/>
              <w:bottom w:val="single" w:sz="12" w:space="0" w:color="auto"/>
              <w:right w:val="single" w:sz="12" w:space="0" w:color="auto"/>
            </w:tcBorders>
          </w:tcPr>
          <w:p w:rsidR="008A24AE" w:rsidRPr="001135B6" w:rsidRDefault="008A24AE" w:rsidP="00A8019A">
            <w:pPr>
              <w:ind w:left="720"/>
              <w:jc w:val="right"/>
              <w:rPr>
                <w:rFonts w:ascii="Calibri" w:hAnsi="Calibri" w:cs="Arial"/>
                <w:b/>
                <w:bCs/>
                <w:sz w:val="22"/>
                <w:szCs w:val="22"/>
              </w:rPr>
            </w:pPr>
            <w:r w:rsidRPr="001135B6">
              <w:rPr>
                <w:rFonts w:ascii="Calibri" w:hAnsi="Calibri" w:cs="Arial"/>
                <w:b/>
                <w:bCs/>
                <w:sz w:val="22"/>
                <w:szCs w:val="22"/>
              </w:rPr>
              <w:t>1 830,00 €</w:t>
            </w:r>
          </w:p>
        </w:tc>
      </w:tr>
      <w:tr w:rsidR="008A24AE" w:rsidRPr="001135B6" w:rsidTr="001135B6">
        <w:trPr>
          <w:trHeight w:val="241"/>
        </w:trPr>
        <w:tc>
          <w:tcPr>
            <w:tcW w:w="5417" w:type="dxa"/>
            <w:tcBorders>
              <w:top w:val="single" w:sz="6" w:space="0" w:color="auto"/>
              <w:left w:val="single" w:sz="12"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r w:rsidRPr="001135B6">
              <w:rPr>
                <w:rFonts w:ascii="Calibri" w:hAnsi="Calibri" w:cs="Arial"/>
                <w:b/>
                <w:sz w:val="22"/>
                <w:szCs w:val="22"/>
              </w:rPr>
              <w:t>Contribution Coefficient Correcteur (sur-compensation)</w:t>
            </w:r>
          </w:p>
        </w:tc>
        <w:tc>
          <w:tcPr>
            <w:tcW w:w="1701"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2042" w:type="dxa"/>
            <w:tcBorders>
              <w:top w:val="single" w:sz="6" w:space="0" w:color="auto"/>
              <w:left w:val="single" w:sz="6" w:space="0" w:color="auto"/>
              <w:bottom w:val="single" w:sz="12" w:space="0" w:color="auto"/>
              <w:right w:val="single" w:sz="12" w:space="0" w:color="auto"/>
            </w:tcBorders>
          </w:tcPr>
          <w:p w:rsidR="008A24AE" w:rsidRPr="001135B6" w:rsidRDefault="008A24AE" w:rsidP="008A24AE">
            <w:pPr>
              <w:numPr>
                <w:ilvl w:val="0"/>
                <w:numId w:val="20"/>
              </w:numPr>
              <w:jc w:val="right"/>
              <w:rPr>
                <w:rFonts w:ascii="Calibri" w:hAnsi="Calibri" w:cs="Arial"/>
                <w:b/>
                <w:bCs/>
                <w:sz w:val="22"/>
                <w:szCs w:val="22"/>
              </w:rPr>
            </w:pPr>
            <w:r w:rsidRPr="001135B6">
              <w:rPr>
                <w:rFonts w:ascii="Calibri" w:hAnsi="Calibri" w:cs="Arial"/>
                <w:b/>
                <w:bCs/>
                <w:sz w:val="22"/>
                <w:szCs w:val="22"/>
              </w:rPr>
              <w:t>19 785,00 €</w:t>
            </w:r>
          </w:p>
        </w:tc>
      </w:tr>
      <w:tr w:rsidR="008A24AE" w:rsidRPr="001135B6" w:rsidTr="001135B6">
        <w:trPr>
          <w:trHeight w:val="280"/>
        </w:trPr>
        <w:tc>
          <w:tcPr>
            <w:tcW w:w="5417" w:type="dxa"/>
            <w:tcBorders>
              <w:top w:val="single" w:sz="6" w:space="0" w:color="auto"/>
              <w:left w:val="single" w:sz="12"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r w:rsidRPr="001135B6">
              <w:rPr>
                <w:rFonts w:ascii="Calibri" w:hAnsi="Calibri" w:cs="Arial"/>
                <w:b/>
                <w:sz w:val="22"/>
                <w:szCs w:val="22"/>
              </w:rPr>
              <w:t>Produit Attendu</w:t>
            </w:r>
          </w:p>
        </w:tc>
        <w:tc>
          <w:tcPr>
            <w:tcW w:w="1701"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992" w:type="dxa"/>
            <w:tcBorders>
              <w:top w:val="single" w:sz="6" w:space="0" w:color="auto"/>
              <w:left w:val="single" w:sz="6" w:space="0" w:color="auto"/>
              <w:bottom w:val="single" w:sz="12" w:space="0" w:color="auto"/>
              <w:right w:val="single" w:sz="6" w:space="0" w:color="auto"/>
            </w:tcBorders>
          </w:tcPr>
          <w:p w:rsidR="008A24AE" w:rsidRPr="001135B6" w:rsidRDefault="008A24AE" w:rsidP="00A8019A">
            <w:pPr>
              <w:rPr>
                <w:rFonts w:ascii="Calibri" w:hAnsi="Calibri" w:cs="Arial"/>
                <w:b/>
                <w:sz w:val="22"/>
                <w:szCs w:val="22"/>
              </w:rPr>
            </w:pPr>
          </w:p>
        </w:tc>
        <w:tc>
          <w:tcPr>
            <w:tcW w:w="2042" w:type="dxa"/>
            <w:tcBorders>
              <w:top w:val="single" w:sz="6" w:space="0" w:color="auto"/>
              <w:left w:val="single" w:sz="6" w:space="0" w:color="auto"/>
              <w:bottom w:val="single" w:sz="12" w:space="0" w:color="auto"/>
              <w:right w:val="single" w:sz="12" w:space="0" w:color="auto"/>
            </w:tcBorders>
          </w:tcPr>
          <w:p w:rsidR="008A24AE" w:rsidRPr="001135B6" w:rsidRDefault="008A24AE" w:rsidP="00A8019A">
            <w:pPr>
              <w:jc w:val="right"/>
              <w:rPr>
                <w:rFonts w:ascii="Calibri" w:hAnsi="Calibri" w:cs="Arial"/>
                <w:b/>
                <w:bCs/>
                <w:sz w:val="22"/>
                <w:szCs w:val="22"/>
              </w:rPr>
            </w:pPr>
            <w:r w:rsidRPr="001135B6">
              <w:rPr>
                <w:rFonts w:ascii="Calibri" w:hAnsi="Calibri" w:cs="Arial"/>
                <w:b/>
                <w:bCs/>
                <w:sz w:val="22"/>
                <w:szCs w:val="22"/>
              </w:rPr>
              <w:t>161 290,00 €</w:t>
            </w:r>
          </w:p>
        </w:tc>
      </w:tr>
    </w:tbl>
    <w:p w:rsidR="008A24AE" w:rsidRPr="001135B6" w:rsidRDefault="008A24AE" w:rsidP="008A24AE">
      <w:pPr>
        <w:jc w:val="both"/>
        <w:rPr>
          <w:rFonts w:ascii="Calibri" w:hAnsi="Calibri" w:cs="Arial"/>
          <w:sz w:val="22"/>
          <w:szCs w:val="22"/>
        </w:rPr>
      </w:pPr>
    </w:p>
    <w:p w:rsidR="008A24AE" w:rsidRPr="001135B6" w:rsidRDefault="008A24AE" w:rsidP="008A24AE">
      <w:pPr>
        <w:numPr>
          <w:ilvl w:val="0"/>
          <w:numId w:val="19"/>
        </w:numPr>
        <w:jc w:val="both"/>
        <w:rPr>
          <w:rFonts w:ascii="Calibri" w:hAnsi="Calibri" w:cs="Arial"/>
          <w:sz w:val="22"/>
          <w:szCs w:val="22"/>
        </w:rPr>
      </w:pPr>
      <w:r w:rsidRPr="001135B6">
        <w:rPr>
          <w:rFonts w:ascii="Calibri" w:hAnsi="Calibri" w:cs="Arial"/>
          <w:b/>
          <w:sz w:val="22"/>
          <w:szCs w:val="22"/>
        </w:rPr>
        <w:t>Précise</w:t>
      </w:r>
      <w:r w:rsidRPr="001135B6">
        <w:rPr>
          <w:rFonts w:ascii="Calibri" w:hAnsi="Calibri" w:cs="Arial"/>
          <w:sz w:val="22"/>
          <w:szCs w:val="22"/>
        </w:rPr>
        <w:t xml:space="preserve"> que la compensation au titre des exonérations des taxes foncières est de 3 130,00 € pour 2021</w:t>
      </w:r>
    </w:p>
    <w:p w:rsidR="00332361" w:rsidRPr="001135B6" w:rsidRDefault="00332361" w:rsidP="00B976D5">
      <w:pPr>
        <w:tabs>
          <w:tab w:val="left" w:pos="6238"/>
        </w:tabs>
        <w:jc w:val="both"/>
        <w:rPr>
          <w:rFonts w:asciiTheme="minorHAnsi" w:hAnsiTheme="minorHAnsi" w:cstheme="minorHAnsi"/>
          <w:sz w:val="22"/>
          <w:szCs w:val="22"/>
        </w:rPr>
      </w:pPr>
    </w:p>
    <w:p w:rsidR="00A44BCC" w:rsidRPr="001135B6" w:rsidRDefault="00A44BCC" w:rsidP="00D46F67">
      <w:pPr>
        <w:tabs>
          <w:tab w:val="left" w:pos="6238"/>
        </w:tabs>
        <w:jc w:val="both"/>
        <w:rPr>
          <w:rFonts w:asciiTheme="minorHAnsi" w:hAnsiTheme="minorHAnsi" w:cstheme="minorHAnsi"/>
          <w:sz w:val="22"/>
          <w:szCs w:val="22"/>
        </w:rPr>
      </w:pPr>
    </w:p>
    <w:p w:rsidR="00B976D5" w:rsidRPr="001135B6" w:rsidRDefault="008F6492" w:rsidP="00573E1C">
      <w:pPr>
        <w:ind w:left="708"/>
        <w:jc w:val="both"/>
        <w:rPr>
          <w:rFonts w:asciiTheme="minorHAnsi" w:hAnsiTheme="minorHAnsi" w:cstheme="minorHAnsi"/>
          <w:b/>
          <w:sz w:val="22"/>
          <w:szCs w:val="22"/>
          <w:u w:val="single"/>
        </w:rPr>
      </w:pPr>
      <w:r w:rsidRPr="001135B6">
        <w:rPr>
          <w:rFonts w:asciiTheme="minorHAnsi" w:hAnsiTheme="minorHAnsi" w:cstheme="minorHAnsi"/>
          <w:b/>
          <w:sz w:val="22"/>
          <w:szCs w:val="22"/>
          <w:u w:val="single"/>
        </w:rPr>
        <w:t xml:space="preserve">DCM </w:t>
      </w:r>
      <w:r w:rsidR="00B976D5" w:rsidRPr="001135B6">
        <w:rPr>
          <w:rFonts w:asciiTheme="minorHAnsi" w:hAnsiTheme="minorHAnsi" w:cstheme="minorHAnsi"/>
          <w:b/>
          <w:sz w:val="22"/>
          <w:szCs w:val="22"/>
          <w:u w:val="single"/>
        </w:rPr>
        <w:t>202</w:t>
      </w:r>
      <w:r w:rsidR="004A4D78" w:rsidRPr="001135B6">
        <w:rPr>
          <w:rFonts w:asciiTheme="minorHAnsi" w:hAnsiTheme="minorHAnsi" w:cstheme="minorHAnsi"/>
          <w:b/>
          <w:sz w:val="22"/>
          <w:szCs w:val="22"/>
          <w:u w:val="single"/>
        </w:rPr>
        <w:t>1</w:t>
      </w:r>
      <w:r w:rsidRPr="001135B6">
        <w:rPr>
          <w:rFonts w:asciiTheme="minorHAnsi" w:hAnsiTheme="minorHAnsi" w:cstheme="minorHAnsi"/>
          <w:b/>
          <w:sz w:val="22"/>
          <w:szCs w:val="22"/>
          <w:u w:val="single"/>
        </w:rPr>
        <w:t>/</w:t>
      </w:r>
      <w:r w:rsidR="004029FB" w:rsidRPr="001135B6">
        <w:rPr>
          <w:rFonts w:asciiTheme="minorHAnsi" w:hAnsiTheme="minorHAnsi" w:cstheme="minorHAnsi"/>
          <w:b/>
          <w:sz w:val="22"/>
          <w:szCs w:val="22"/>
          <w:u w:val="single"/>
        </w:rPr>
        <w:t>1</w:t>
      </w:r>
      <w:r w:rsidR="00B17FE5" w:rsidRPr="001135B6">
        <w:rPr>
          <w:rFonts w:asciiTheme="minorHAnsi" w:hAnsiTheme="minorHAnsi" w:cstheme="minorHAnsi"/>
          <w:b/>
          <w:sz w:val="22"/>
          <w:szCs w:val="22"/>
          <w:u w:val="single"/>
        </w:rPr>
        <w:t>2</w:t>
      </w:r>
      <w:r w:rsidRPr="001135B6">
        <w:rPr>
          <w:rFonts w:asciiTheme="minorHAnsi" w:hAnsiTheme="minorHAnsi" w:cstheme="minorHAnsi"/>
          <w:b/>
          <w:sz w:val="22"/>
          <w:szCs w:val="22"/>
          <w:u w:val="single"/>
        </w:rPr>
        <w:t xml:space="preserve"> : </w:t>
      </w:r>
      <w:r w:rsidR="008263A7" w:rsidRPr="001135B6">
        <w:rPr>
          <w:rFonts w:asciiTheme="minorHAnsi" w:hAnsiTheme="minorHAnsi" w:cstheme="minorHAnsi"/>
          <w:b/>
          <w:sz w:val="22"/>
          <w:szCs w:val="22"/>
          <w:u w:val="single"/>
        </w:rPr>
        <w:t>DECISION MODIFICATIVE N°1</w:t>
      </w:r>
    </w:p>
    <w:p w:rsidR="00B976D5" w:rsidRPr="001135B6"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D2107A" w:rsidRPr="001135B6" w:rsidRDefault="00D2107A" w:rsidP="00D2107A">
      <w:pPr>
        <w:ind w:right="-427"/>
        <w:jc w:val="both"/>
        <w:rPr>
          <w:rFonts w:ascii="Calibri" w:hAnsi="Calibri" w:cs="Arial"/>
          <w:sz w:val="22"/>
          <w:szCs w:val="22"/>
        </w:rPr>
      </w:pPr>
      <w:r w:rsidRPr="001135B6">
        <w:rPr>
          <w:rFonts w:ascii="Calibri" w:hAnsi="Calibri" w:cs="Arial"/>
          <w:b/>
          <w:sz w:val="22"/>
          <w:szCs w:val="22"/>
        </w:rPr>
        <w:t>Vu</w:t>
      </w:r>
      <w:r w:rsidRPr="001135B6">
        <w:rPr>
          <w:rFonts w:ascii="Calibri" w:hAnsi="Calibri" w:cs="Arial"/>
          <w:sz w:val="22"/>
          <w:szCs w:val="22"/>
        </w:rPr>
        <w:t xml:space="preserve"> la délibération n°2021/11 du Conseil Municipal du 1</w:t>
      </w:r>
      <w:r w:rsidRPr="001135B6">
        <w:rPr>
          <w:rFonts w:ascii="Calibri" w:hAnsi="Calibri" w:cs="Arial"/>
          <w:sz w:val="22"/>
          <w:szCs w:val="22"/>
          <w:vertAlign w:val="superscript"/>
        </w:rPr>
        <w:t>er</w:t>
      </w:r>
      <w:r w:rsidRPr="001135B6">
        <w:rPr>
          <w:rFonts w:ascii="Calibri" w:hAnsi="Calibri" w:cs="Arial"/>
          <w:sz w:val="22"/>
          <w:szCs w:val="22"/>
        </w:rPr>
        <w:t xml:space="preserve"> juin 2021, relative au vote des deux taxes 2021 ;</w:t>
      </w:r>
    </w:p>
    <w:p w:rsidR="00D2107A" w:rsidRPr="001135B6" w:rsidRDefault="00D2107A" w:rsidP="00D2107A">
      <w:pPr>
        <w:ind w:right="-568"/>
        <w:jc w:val="both"/>
        <w:rPr>
          <w:rFonts w:ascii="Calibri" w:hAnsi="Calibri" w:cs="Arial"/>
          <w:sz w:val="22"/>
          <w:szCs w:val="22"/>
        </w:rPr>
      </w:pPr>
      <w:r w:rsidRPr="001135B6">
        <w:rPr>
          <w:rFonts w:ascii="Calibri" w:hAnsi="Calibri" w:cs="Arial"/>
          <w:b/>
          <w:sz w:val="22"/>
          <w:szCs w:val="22"/>
        </w:rPr>
        <w:t>Considérant</w:t>
      </w:r>
      <w:r w:rsidRPr="001135B6">
        <w:rPr>
          <w:rFonts w:ascii="Calibri" w:hAnsi="Calibri" w:cs="Arial"/>
          <w:sz w:val="22"/>
          <w:szCs w:val="22"/>
        </w:rPr>
        <w:t xml:space="preserve"> l’attribution des dotations 2021,</w:t>
      </w:r>
    </w:p>
    <w:p w:rsidR="00D2107A" w:rsidRPr="001135B6" w:rsidRDefault="00D2107A" w:rsidP="00D2107A">
      <w:pPr>
        <w:jc w:val="both"/>
        <w:rPr>
          <w:rFonts w:ascii="Calibri" w:hAnsi="Calibri" w:cs="Arial"/>
          <w:sz w:val="22"/>
          <w:szCs w:val="22"/>
        </w:rPr>
      </w:pPr>
      <w:r w:rsidRPr="001135B6">
        <w:rPr>
          <w:rFonts w:ascii="Calibri" w:hAnsi="Calibri" w:cs="Arial"/>
          <w:sz w:val="22"/>
          <w:szCs w:val="22"/>
        </w:rPr>
        <w:t>Il y a donc lieu d’apporter les modifications suivantes au Budget Unique 2021 de la Commune :</w:t>
      </w:r>
    </w:p>
    <w:p w:rsidR="00D2107A" w:rsidRPr="001135B6" w:rsidRDefault="00D2107A" w:rsidP="00D2107A">
      <w:pPr>
        <w:jc w:val="both"/>
        <w:rPr>
          <w:rFonts w:ascii="Calibri" w:hAnsi="Calibri" w:cs="Arial"/>
          <w:sz w:val="22"/>
          <w:szCs w:val="22"/>
        </w:rPr>
      </w:pPr>
    </w:p>
    <w:p w:rsidR="00D2107A" w:rsidRPr="001135B6" w:rsidRDefault="00D2107A" w:rsidP="00D2107A">
      <w:pPr>
        <w:jc w:val="center"/>
        <w:rPr>
          <w:rFonts w:ascii="Calibri" w:hAnsi="Calibri" w:cs="Arial"/>
          <w:b/>
          <w:sz w:val="22"/>
          <w:szCs w:val="22"/>
          <w:u w:val="single"/>
        </w:rPr>
      </w:pPr>
      <w:r w:rsidRPr="001135B6">
        <w:rPr>
          <w:rFonts w:ascii="Calibri" w:hAnsi="Calibri" w:cs="Arial"/>
          <w:b/>
          <w:sz w:val="22"/>
          <w:szCs w:val="22"/>
          <w:u w:val="single"/>
        </w:rPr>
        <w:t>FONCTIONNEMENT</w:t>
      </w:r>
    </w:p>
    <w:p w:rsidR="00D2107A" w:rsidRPr="001135B6" w:rsidRDefault="00D2107A" w:rsidP="00D2107A">
      <w:pPr>
        <w:jc w:val="both"/>
        <w:rPr>
          <w:rFonts w:ascii="Calibri" w:hAnsi="Calibri" w:cs="Arial"/>
          <w:b/>
          <w:sz w:val="22"/>
          <w:szCs w:val="22"/>
          <w:u w:val="single"/>
        </w:rPr>
      </w:pPr>
      <w:r w:rsidRPr="001135B6">
        <w:rPr>
          <w:rFonts w:ascii="Calibri" w:hAnsi="Calibri" w:cs="Arial"/>
          <w:b/>
          <w:sz w:val="22"/>
          <w:szCs w:val="22"/>
          <w:u w:val="single"/>
        </w:rPr>
        <w:t>Recettes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73111 : Taxes foncières et d’habitation :</w:t>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+ 4 460,00 €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7411 : Dotation forfaitaire</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442,00 €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74121 : Dotation de solidarité rurale</w:t>
      </w:r>
      <w:r w:rsidRPr="001135B6">
        <w:rPr>
          <w:rFonts w:ascii="Calibri" w:hAnsi="Calibri" w:cs="Arial"/>
          <w:b/>
          <w:sz w:val="22"/>
          <w:szCs w:val="22"/>
        </w:rPr>
        <w:tab/>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761,00 €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74127 : Dotation nationale de péréquation</w:t>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+ 1 949,00 €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742 : Dotations aux élus locaux</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27,00 €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74834 : Etat – compensation au titre des</w:t>
      </w:r>
      <w:r w:rsidR="001135B6" w:rsidRPr="001135B6">
        <w:rPr>
          <w:rFonts w:ascii="Calibri" w:hAnsi="Calibri" w:cs="Arial"/>
          <w:b/>
          <w:sz w:val="22"/>
          <w:szCs w:val="22"/>
        </w:rPr>
        <w:t xml:space="preserve"> exonérations des taxes foncières</w:t>
      </w:r>
      <w:r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     130,00 €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74835 : Etat – compensation au titre des</w:t>
      </w:r>
      <w:r w:rsidR="001135B6" w:rsidRPr="001135B6">
        <w:rPr>
          <w:rFonts w:ascii="Calibri" w:hAnsi="Calibri" w:cs="Arial"/>
          <w:b/>
          <w:sz w:val="22"/>
          <w:szCs w:val="22"/>
        </w:rPr>
        <w:t xml:space="preserve"> </w:t>
      </w:r>
      <w:r w:rsidRPr="001135B6">
        <w:rPr>
          <w:rFonts w:ascii="Calibri" w:hAnsi="Calibri" w:cs="Arial"/>
          <w:b/>
          <w:sz w:val="22"/>
          <w:szCs w:val="22"/>
        </w:rPr>
        <w:t>exonérations des taxes d’habitation</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u w:val="single"/>
        </w:rPr>
        <w:t>-  1 170,00 €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Total</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001135B6" w:rsidRPr="001135B6">
        <w:rPr>
          <w:rFonts w:ascii="Calibri" w:hAnsi="Calibri" w:cs="Arial"/>
          <w:b/>
          <w:sz w:val="22"/>
          <w:szCs w:val="22"/>
        </w:rPr>
        <w:tab/>
      </w:r>
      <w:r w:rsidRPr="001135B6">
        <w:rPr>
          <w:rFonts w:ascii="Calibri" w:hAnsi="Calibri" w:cs="Arial"/>
          <w:b/>
          <w:sz w:val="22"/>
          <w:szCs w:val="22"/>
        </w:rPr>
        <w:tab/>
        <w:t>+ 6 599,00 €</w:t>
      </w:r>
    </w:p>
    <w:p w:rsidR="00D2107A" w:rsidRPr="001135B6" w:rsidRDefault="00D2107A" w:rsidP="00D2107A">
      <w:pPr>
        <w:jc w:val="both"/>
        <w:rPr>
          <w:rFonts w:ascii="Calibri" w:hAnsi="Calibri" w:cs="Arial"/>
          <w:sz w:val="22"/>
          <w:szCs w:val="22"/>
        </w:rPr>
      </w:pPr>
    </w:p>
    <w:p w:rsidR="00D2107A" w:rsidRPr="001135B6" w:rsidRDefault="00D2107A" w:rsidP="00D2107A">
      <w:pPr>
        <w:jc w:val="both"/>
        <w:rPr>
          <w:rFonts w:ascii="Calibri" w:hAnsi="Calibri" w:cs="Arial"/>
          <w:b/>
          <w:sz w:val="22"/>
          <w:szCs w:val="22"/>
          <w:u w:val="single"/>
        </w:rPr>
      </w:pPr>
      <w:r w:rsidRPr="001135B6">
        <w:rPr>
          <w:rFonts w:ascii="Calibri" w:hAnsi="Calibri" w:cs="Arial"/>
          <w:b/>
          <w:sz w:val="22"/>
          <w:szCs w:val="22"/>
          <w:u w:val="single"/>
        </w:rPr>
        <w:t>Dépenses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022 : Dépenses Imprévues :</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u w:val="single"/>
        </w:rPr>
        <w:t>+ 6 599,00 €</w:t>
      </w:r>
    </w:p>
    <w:p w:rsidR="00D2107A" w:rsidRPr="001135B6" w:rsidRDefault="00D2107A" w:rsidP="00D2107A">
      <w:pPr>
        <w:jc w:val="both"/>
        <w:rPr>
          <w:rFonts w:ascii="Calibri" w:hAnsi="Calibri" w:cs="Arial"/>
          <w:b/>
          <w:sz w:val="22"/>
          <w:szCs w:val="22"/>
        </w:rPr>
      </w:pPr>
      <w:r w:rsidRPr="001135B6">
        <w:rPr>
          <w:rFonts w:ascii="Calibri" w:hAnsi="Calibri" w:cs="Arial"/>
          <w:b/>
          <w:sz w:val="22"/>
          <w:szCs w:val="22"/>
        </w:rPr>
        <w:t>Total</w:t>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r>
      <w:r w:rsidRPr="001135B6">
        <w:rPr>
          <w:rFonts w:ascii="Calibri" w:hAnsi="Calibri" w:cs="Arial"/>
          <w:b/>
          <w:sz w:val="22"/>
          <w:szCs w:val="22"/>
        </w:rPr>
        <w:tab/>
        <w:t>+ 6 599,00 €</w:t>
      </w:r>
    </w:p>
    <w:p w:rsidR="00D2107A" w:rsidRPr="001135B6" w:rsidRDefault="00D2107A" w:rsidP="00D2107A">
      <w:pPr>
        <w:jc w:val="both"/>
        <w:rPr>
          <w:rFonts w:ascii="Calibri" w:hAnsi="Calibri" w:cs="Arial"/>
          <w:sz w:val="22"/>
          <w:szCs w:val="22"/>
        </w:rPr>
      </w:pPr>
    </w:p>
    <w:p w:rsidR="00D2107A" w:rsidRPr="001135B6" w:rsidRDefault="00D2107A" w:rsidP="00D2107A">
      <w:pPr>
        <w:jc w:val="both"/>
        <w:rPr>
          <w:rFonts w:ascii="Calibri" w:hAnsi="Calibri" w:cs="Arial"/>
          <w:sz w:val="22"/>
          <w:szCs w:val="22"/>
        </w:rPr>
      </w:pPr>
      <w:r w:rsidRPr="001135B6">
        <w:rPr>
          <w:rFonts w:ascii="Calibri" w:hAnsi="Calibri" w:cs="Arial"/>
          <w:sz w:val="22"/>
          <w:szCs w:val="22"/>
        </w:rPr>
        <w:t>Le Conseil Municipal, après en avoir délibéré à l’unanimité :</w:t>
      </w:r>
    </w:p>
    <w:p w:rsidR="00D2107A" w:rsidRPr="001135B6" w:rsidRDefault="00D2107A" w:rsidP="00D2107A">
      <w:pPr>
        <w:jc w:val="both"/>
        <w:rPr>
          <w:rFonts w:ascii="Calibri" w:hAnsi="Calibri" w:cs="Arial"/>
          <w:sz w:val="22"/>
          <w:szCs w:val="22"/>
        </w:rPr>
      </w:pPr>
    </w:p>
    <w:p w:rsidR="00D2107A" w:rsidRPr="001135B6" w:rsidRDefault="00D2107A" w:rsidP="00D2107A">
      <w:pPr>
        <w:numPr>
          <w:ilvl w:val="0"/>
          <w:numId w:val="25"/>
        </w:numPr>
        <w:jc w:val="both"/>
        <w:rPr>
          <w:rFonts w:ascii="Calibri" w:hAnsi="Calibri" w:cs="Arial"/>
          <w:sz w:val="22"/>
          <w:szCs w:val="22"/>
        </w:rPr>
      </w:pPr>
      <w:r w:rsidRPr="001135B6">
        <w:rPr>
          <w:rFonts w:ascii="Calibri" w:hAnsi="Calibri" w:cs="Arial"/>
          <w:b/>
          <w:sz w:val="22"/>
          <w:szCs w:val="22"/>
        </w:rPr>
        <w:t>Décide</w:t>
      </w:r>
      <w:r w:rsidRPr="001135B6">
        <w:rPr>
          <w:rFonts w:ascii="Calibri" w:hAnsi="Calibri" w:cs="Arial"/>
          <w:sz w:val="22"/>
          <w:szCs w:val="22"/>
        </w:rPr>
        <w:t xml:space="preserve"> de procéder à la régularisation ci-dessus énoncée.</w:t>
      </w:r>
    </w:p>
    <w:p w:rsidR="009711AE" w:rsidRPr="001135B6" w:rsidRDefault="009711AE" w:rsidP="009711AE">
      <w:pPr>
        <w:tabs>
          <w:tab w:val="left" w:pos="6238"/>
        </w:tabs>
        <w:jc w:val="both"/>
        <w:rPr>
          <w:rFonts w:asciiTheme="minorHAnsi" w:hAnsiTheme="minorHAnsi" w:cstheme="minorHAnsi"/>
          <w:sz w:val="22"/>
          <w:szCs w:val="22"/>
        </w:rPr>
      </w:pPr>
    </w:p>
    <w:p w:rsidR="002E28C1" w:rsidRPr="001135B6" w:rsidRDefault="002E28C1" w:rsidP="009711AE">
      <w:pPr>
        <w:tabs>
          <w:tab w:val="left" w:pos="6238"/>
        </w:tabs>
        <w:jc w:val="both"/>
        <w:rPr>
          <w:rFonts w:asciiTheme="minorHAnsi" w:hAnsiTheme="minorHAnsi" w:cstheme="minorHAnsi"/>
          <w:sz w:val="22"/>
          <w:szCs w:val="22"/>
        </w:rPr>
      </w:pPr>
    </w:p>
    <w:p w:rsidR="002E28C1" w:rsidRPr="001135B6" w:rsidRDefault="004029FB" w:rsidP="002E28C1">
      <w:pPr>
        <w:ind w:left="708"/>
        <w:jc w:val="both"/>
        <w:rPr>
          <w:rFonts w:asciiTheme="minorHAnsi" w:hAnsiTheme="minorHAnsi" w:cstheme="minorHAnsi"/>
          <w:b/>
          <w:sz w:val="22"/>
          <w:szCs w:val="22"/>
        </w:rPr>
      </w:pPr>
      <w:r w:rsidRPr="001135B6">
        <w:rPr>
          <w:rFonts w:asciiTheme="minorHAnsi" w:hAnsiTheme="minorHAnsi" w:cstheme="minorHAnsi"/>
          <w:b/>
          <w:sz w:val="22"/>
          <w:szCs w:val="22"/>
          <w:u w:val="single"/>
        </w:rPr>
        <w:t>DCM 2021/1</w:t>
      </w:r>
      <w:r w:rsidR="00B17FE5" w:rsidRPr="001135B6">
        <w:rPr>
          <w:rFonts w:asciiTheme="minorHAnsi" w:hAnsiTheme="minorHAnsi" w:cstheme="minorHAnsi"/>
          <w:b/>
          <w:sz w:val="22"/>
          <w:szCs w:val="22"/>
          <w:u w:val="single"/>
        </w:rPr>
        <w:t>3</w:t>
      </w:r>
      <w:r w:rsidR="002E28C1" w:rsidRPr="001135B6">
        <w:rPr>
          <w:rFonts w:asciiTheme="minorHAnsi" w:hAnsiTheme="minorHAnsi" w:cstheme="minorHAnsi"/>
          <w:b/>
          <w:sz w:val="22"/>
          <w:szCs w:val="22"/>
          <w:u w:val="single"/>
        </w:rPr>
        <w:t xml:space="preserve"> : </w:t>
      </w:r>
      <w:r w:rsidR="008263A7" w:rsidRPr="001135B6">
        <w:rPr>
          <w:rFonts w:asciiTheme="minorHAnsi" w:hAnsiTheme="minorHAnsi" w:cstheme="minorHAnsi"/>
          <w:b/>
          <w:sz w:val="22"/>
          <w:szCs w:val="22"/>
          <w:u w:val="single"/>
        </w:rPr>
        <w:t>COMMUNES FORESTIERES FEDERATION NATIONALE </w:t>
      </w:r>
      <w:r w:rsidR="008263A7" w:rsidRPr="001135B6">
        <w:rPr>
          <w:rFonts w:asciiTheme="minorHAnsi" w:hAnsiTheme="minorHAnsi" w:cstheme="minorHAnsi"/>
          <w:b/>
          <w:sz w:val="22"/>
          <w:szCs w:val="22"/>
        </w:rPr>
        <w:t>: Désignation d’un référent Forêt-Bois</w:t>
      </w:r>
    </w:p>
    <w:p w:rsidR="00B976D5" w:rsidRPr="001135B6" w:rsidRDefault="00B976D5" w:rsidP="00332361">
      <w:pPr>
        <w:jc w:val="both"/>
        <w:rPr>
          <w:rFonts w:asciiTheme="minorHAnsi" w:hAnsiTheme="minorHAnsi" w:cstheme="minorHAnsi"/>
          <w:sz w:val="22"/>
          <w:szCs w:val="22"/>
        </w:rPr>
      </w:pPr>
    </w:p>
    <w:p w:rsidR="00D2107A" w:rsidRPr="001135B6" w:rsidRDefault="00D2107A" w:rsidP="001135B6">
      <w:pPr>
        <w:ind w:right="-2"/>
        <w:jc w:val="both"/>
        <w:rPr>
          <w:rFonts w:ascii="Calibri" w:hAnsi="Calibri" w:cs="Arial"/>
          <w:sz w:val="22"/>
          <w:szCs w:val="22"/>
        </w:rPr>
      </w:pPr>
      <w:r w:rsidRPr="001135B6">
        <w:rPr>
          <w:rFonts w:ascii="Calibri" w:hAnsi="Calibri" w:cs="Arial"/>
          <w:b/>
          <w:sz w:val="22"/>
          <w:szCs w:val="22"/>
        </w:rPr>
        <w:t>Considérant</w:t>
      </w:r>
      <w:r w:rsidRPr="001135B6">
        <w:rPr>
          <w:rFonts w:ascii="Calibri" w:hAnsi="Calibri" w:cs="Arial"/>
          <w:sz w:val="22"/>
          <w:szCs w:val="22"/>
        </w:rPr>
        <w:t xml:space="preserve"> que la forêt et les espaces boisés représentent un enjeu important pour les territoires franciliens, la Fédération Nationale des Communes Forestières porte le projet de constituer un réseau </w:t>
      </w:r>
      <w:r w:rsidRPr="001135B6">
        <w:rPr>
          <w:rFonts w:ascii="Calibri" w:hAnsi="Calibri" w:cs="Arial"/>
          <w:sz w:val="22"/>
          <w:szCs w:val="22"/>
        </w:rPr>
        <w:lastRenderedPageBreak/>
        <w:t>régional composé d’élus référents Forêt-Bois dans chaque Collectivité. Son développement reçoit le soutien financier de la Région Ile-de-France. Il est demandé de désigner un référent Forêt-Bois pour représenter la Commune.</w:t>
      </w:r>
    </w:p>
    <w:p w:rsidR="00D2107A" w:rsidRPr="001135B6" w:rsidRDefault="00D2107A" w:rsidP="00D2107A">
      <w:pPr>
        <w:jc w:val="both"/>
        <w:rPr>
          <w:rFonts w:ascii="Calibri" w:hAnsi="Calibri" w:cs="Arial"/>
          <w:sz w:val="22"/>
          <w:szCs w:val="22"/>
        </w:rPr>
      </w:pPr>
    </w:p>
    <w:p w:rsidR="00D2107A" w:rsidRPr="001135B6" w:rsidRDefault="00D2107A" w:rsidP="00D2107A">
      <w:pPr>
        <w:jc w:val="both"/>
        <w:rPr>
          <w:rFonts w:ascii="Calibri" w:hAnsi="Calibri" w:cs="Arial"/>
          <w:sz w:val="22"/>
          <w:szCs w:val="22"/>
        </w:rPr>
      </w:pPr>
      <w:r w:rsidRPr="001135B6">
        <w:rPr>
          <w:rFonts w:ascii="Calibri" w:hAnsi="Calibri" w:cs="Arial"/>
          <w:sz w:val="22"/>
          <w:szCs w:val="22"/>
        </w:rPr>
        <w:t>Le Conseil Municipal, après en avoir délibéré à l’unanimité :</w:t>
      </w:r>
    </w:p>
    <w:p w:rsidR="00D2107A" w:rsidRPr="001135B6" w:rsidRDefault="00D2107A" w:rsidP="00D2107A">
      <w:pPr>
        <w:jc w:val="both"/>
        <w:rPr>
          <w:rFonts w:ascii="Calibri" w:hAnsi="Calibri" w:cs="Arial"/>
          <w:sz w:val="22"/>
          <w:szCs w:val="22"/>
        </w:rPr>
      </w:pPr>
    </w:p>
    <w:p w:rsidR="00D2107A" w:rsidRPr="001135B6" w:rsidRDefault="00D2107A" w:rsidP="00D2107A">
      <w:pPr>
        <w:numPr>
          <w:ilvl w:val="0"/>
          <w:numId w:val="26"/>
        </w:numPr>
        <w:jc w:val="both"/>
        <w:rPr>
          <w:rFonts w:ascii="Calibri" w:hAnsi="Calibri" w:cs="Arial"/>
          <w:sz w:val="22"/>
          <w:szCs w:val="22"/>
        </w:rPr>
      </w:pPr>
      <w:r w:rsidRPr="001135B6">
        <w:rPr>
          <w:rFonts w:ascii="Calibri" w:hAnsi="Calibri" w:cs="Arial"/>
          <w:b/>
          <w:sz w:val="22"/>
          <w:szCs w:val="22"/>
        </w:rPr>
        <w:t>Ne souhaite pas</w:t>
      </w:r>
      <w:r w:rsidRPr="001135B6">
        <w:rPr>
          <w:rFonts w:ascii="Calibri" w:hAnsi="Calibri" w:cs="Arial"/>
          <w:sz w:val="22"/>
          <w:szCs w:val="22"/>
        </w:rPr>
        <w:t xml:space="preserve"> désigner de référent Forêt-Bois.</w:t>
      </w:r>
    </w:p>
    <w:p w:rsidR="004C4368" w:rsidRPr="001135B6" w:rsidRDefault="004C4368" w:rsidP="004C4368">
      <w:pPr>
        <w:tabs>
          <w:tab w:val="left" w:pos="6238"/>
        </w:tabs>
        <w:jc w:val="both"/>
        <w:rPr>
          <w:rFonts w:ascii="Calibri" w:hAnsi="Calibri" w:cs="Calibri"/>
          <w:sz w:val="22"/>
          <w:szCs w:val="22"/>
        </w:rPr>
      </w:pPr>
    </w:p>
    <w:p w:rsidR="004C4368" w:rsidRPr="001135B6" w:rsidRDefault="004C4368" w:rsidP="00CD7DBD">
      <w:pPr>
        <w:jc w:val="both"/>
        <w:rPr>
          <w:rFonts w:ascii="Calibri" w:hAnsi="Calibri" w:cs="Calibri"/>
          <w:sz w:val="22"/>
          <w:szCs w:val="22"/>
        </w:rPr>
      </w:pPr>
    </w:p>
    <w:p w:rsidR="00287461" w:rsidRPr="001135B6" w:rsidRDefault="00287461" w:rsidP="00573E1C">
      <w:pPr>
        <w:ind w:left="708"/>
        <w:jc w:val="both"/>
        <w:rPr>
          <w:rFonts w:asciiTheme="minorHAnsi" w:hAnsiTheme="minorHAnsi" w:cstheme="minorHAnsi"/>
          <w:b/>
          <w:sz w:val="22"/>
          <w:szCs w:val="22"/>
          <w:u w:val="single"/>
        </w:rPr>
      </w:pPr>
      <w:r w:rsidRPr="001135B6">
        <w:rPr>
          <w:rFonts w:asciiTheme="minorHAnsi" w:hAnsiTheme="minorHAnsi" w:cstheme="minorHAnsi"/>
          <w:b/>
          <w:sz w:val="22"/>
          <w:szCs w:val="22"/>
          <w:u w:val="single"/>
        </w:rPr>
        <w:t>QUESTIONS DIVERSES</w:t>
      </w:r>
    </w:p>
    <w:p w:rsidR="00287461" w:rsidRPr="001135B6" w:rsidRDefault="00287461" w:rsidP="00287461">
      <w:pPr>
        <w:pStyle w:val="Textbody"/>
        <w:spacing w:after="0"/>
        <w:jc w:val="both"/>
        <w:rPr>
          <w:rFonts w:asciiTheme="minorHAnsi" w:hAnsiTheme="minorHAnsi" w:cstheme="minorHAnsi"/>
          <w:sz w:val="22"/>
          <w:szCs w:val="22"/>
        </w:rPr>
      </w:pPr>
    </w:p>
    <w:p w:rsidR="00B77C74" w:rsidRPr="003315DD" w:rsidRDefault="003315DD" w:rsidP="001C20D3">
      <w:pPr>
        <w:pStyle w:val="Paragraphedeliste"/>
        <w:numPr>
          <w:ilvl w:val="0"/>
          <w:numId w:val="1"/>
        </w:numPr>
        <w:suppressAutoHyphens/>
        <w:autoSpaceDN w:val="0"/>
        <w:contextualSpacing w:val="0"/>
        <w:textAlignment w:val="baseline"/>
        <w:rPr>
          <w:rFonts w:asciiTheme="minorHAnsi" w:hAnsiTheme="minorHAnsi" w:cstheme="minorHAnsi"/>
          <w:bCs/>
          <w:sz w:val="22"/>
          <w:szCs w:val="22"/>
        </w:rPr>
      </w:pPr>
      <w:r w:rsidRPr="00585A06">
        <w:rPr>
          <w:rFonts w:asciiTheme="minorHAnsi" w:hAnsiTheme="minorHAnsi" w:cstheme="minorHAnsi"/>
          <w:b/>
          <w:bCs/>
          <w:sz w:val="22"/>
          <w:szCs w:val="22"/>
        </w:rPr>
        <w:t>Rencontre avec Madame Marie-Claire CHAMBARET et Monsieur Guy CROSNIER</w:t>
      </w:r>
      <w:r w:rsidRPr="003315DD">
        <w:rPr>
          <w:rFonts w:asciiTheme="minorHAnsi" w:hAnsiTheme="minorHAnsi" w:cstheme="minorHAnsi"/>
          <w:bCs/>
          <w:sz w:val="22"/>
          <w:szCs w:val="22"/>
        </w:rPr>
        <w:t>, Conseillers Départementaux, le mardi 8 juin 2021 à 19h00 à la Salle des Fêtes, afin de présenter les services du Conseil Départemental</w:t>
      </w:r>
      <w:r>
        <w:rPr>
          <w:rFonts w:asciiTheme="minorHAnsi" w:hAnsiTheme="minorHAnsi" w:cstheme="minorHAnsi"/>
          <w:bCs/>
          <w:sz w:val="22"/>
          <w:szCs w:val="22"/>
        </w:rPr>
        <w:t xml:space="preserve"> au Conseil Municipal</w:t>
      </w:r>
      <w:r w:rsidR="00AE1C0B">
        <w:rPr>
          <w:rFonts w:asciiTheme="minorHAnsi" w:hAnsiTheme="minorHAnsi" w:cstheme="minorHAnsi"/>
          <w:bCs/>
          <w:sz w:val="22"/>
          <w:szCs w:val="22"/>
        </w:rPr>
        <w:t xml:space="preserve"> et à la population</w:t>
      </w:r>
      <w:r>
        <w:rPr>
          <w:rFonts w:asciiTheme="minorHAnsi" w:hAnsiTheme="minorHAnsi" w:cstheme="minorHAnsi"/>
          <w:bCs/>
          <w:sz w:val="22"/>
          <w:szCs w:val="22"/>
        </w:rPr>
        <w:t>.</w:t>
      </w:r>
      <w:r w:rsidR="00B77C74" w:rsidRPr="003315DD">
        <w:rPr>
          <w:rFonts w:asciiTheme="minorHAnsi" w:hAnsiTheme="minorHAnsi" w:cstheme="minorHAnsi"/>
          <w:bCs/>
          <w:sz w:val="22"/>
          <w:szCs w:val="22"/>
        </w:rPr>
        <w:t xml:space="preserve"> </w:t>
      </w:r>
      <w:r w:rsidRPr="003315DD">
        <w:rPr>
          <w:rFonts w:asciiTheme="minorHAnsi" w:hAnsiTheme="minorHAnsi" w:cstheme="minorHAnsi"/>
          <w:bCs/>
          <w:sz w:val="22"/>
          <w:szCs w:val="22"/>
        </w:rPr>
        <w:t>Cette rencontre s’effectuera</w:t>
      </w:r>
      <w:r>
        <w:rPr>
          <w:rFonts w:asciiTheme="minorHAnsi" w:hAnsiTheme="minorHAnsi" w:cstheme="minorHAnsi"/>
          <w:bCs/>
          <w:sz w:val="22"/>
          <w:szCs w:val="22"/>
        </w:rPr>
        <w:t>,</w:t>
      </w:r>
      <w:r w:rsidRPr="003315DD">
        <w:rPr>
          <w:rFonts w:asciiTheme="minorHAnsi" w:hAnsiTheme="minorHAnsi" w:cstheme="minorHAnsi"/>
          <w:bCs/>
          <w:sz w:val="22"/>
          <w:szCs w:val="22"/>
        </w:rPr>
        <w:t xml:space="preserve"> si le temps le permet</w:t>
      </w:r>
      <w:r>
        <w:rPr>
          <w:rFonts w:asciiTheme="minorHAnsi" w:hAnsiTheme="minorHAnsi" w:cstheme="minorHAnsi"/>
          <w:bCs/>
          <w:sz w:val="22"/>
          <w:szCs w:val="22"/>
        </w:rPr>
        <w:t>, en extérieur.</w:t>
      </w:r>
    </w:p>
    <w:p w:rsidR="008D508E" w:rsidRDefault="001135B6"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585A06">
        <w:rPr>
          <w:rFonts w:asciiTheme="minorHAnsi" w:hAnsiTheme="minorHAnsi" w:cstheme="minorHAnsi"/>
          <w:b/>
          <w:bCs/>
          <w:sz w:val="22"/>
          <w:szCs w:val="22"/>
        </w:rPr>
        <w:t xml:space="preserve">Manifestations </w:t>
      </w:r>
      <w:r w:rsidR="00DF5843" w:rsidRPr="00585A06">
        <w:rPr>
          <w:rFonts w:asciiTheme="minorHAnsi" w:hAnsiTheme="minorHAnsi" w:cstheme="minorHAnsi"/>
          <w:b/>
          <w:bCs/>
          <w:sz w:val="22"/>
          <w:szCs w:val="22"/>
        </w:rPr>
        <w:t>communales</w:t>
      </w:r>
      <w:r>
        <w:rPr>
          <w:rFonts w:asciiTheme="minorHAnsi" w:hAnsiTheme="minorHAnsi" w:cstheme="minorHAnsi"/>
          <w:bCs/>
          <w:sz w:val="22"/>
          <w:szCs w:val="22"/>
        </w:rPr>
        <w:t> :</w:t>
      </w:r>
      <w:r w:rsidR="00DF5843">
        <w:rPr>
          <w:rFonts w:asciiTheme="minorHAnsi" w:hAnsiTheme="minorHAnsi" w:cstheme="minorHAnsi"/>
          <w:bCs/>
          <w:sz w:val="22"/>
          <w:szCs w:val="22"/>
        </w:rPr>
        <w:t xml:space="preserve"> La Fête de Village se présentera sous une nouvelle configuration en septembre prochain. En effet, en raison de la situation sanitaire actuelle, la présence des manèges représente trop de contraintes, notamment en ce qui concerne la désinfection entre chaque tour. Par conséquent, </w:t>
      </w:r>
      <w:r w:rsidR="008D508E">
        <w:rPr>
          <w:rFonts w:asciiTheme="minorHAnsi" w:hAnsiTheme="minorHAnsi" w:cstheme="minorHAnsi"/>
          <w:bCs/>
          <w:sz w:val="22"/>
          <w:szCs w:val="22"/>
        </w:rPr>
        <w:t>les deux manèges habituels ne seront pas présents lors de notre fête annuelle.</w:t>
      </w:r>
    </w:p>
    <w:p w:rsidR="008D508E" w:rsidRDefault="008D508E" w:rsidP="008D508E">
      <w:pPr>
        <w:pStyle w:val="Paragraphedeliste"/>
        <w:rPr>
          <w:rFonts w:asciiTheme="minorHAnsi" w:hAnsiTheme="minorHAnsi" w:cstheme="minorHAnsi"/>
          <w:bCs/>
          <w:sz w:val="22"/>
          <w:szCs w:val="22"/>
        </w:rPr>
      </w:pPr>
      <w:r>
        <w:rPr>
          <w:rFonts w:asciiTheme="minorHAnsi" w:hAnsiTheme="minorHAnsi" w:cstheme="minorHAnsi"/>
          <w:bCs/>
          <w:sz w:val="22"/>
          <w:szCs w:val="22"/>
        </w:rPr>
        <w:t>Il a donc été décidé l’organisation d’une brocante le samedi 4 septembre 2021 dans les rues de la commune et à la Salle des Fêtes, avec la présence de structures gonflables pour les enfants, le tir à la carabine, le parapente, voire des animations de rues et un concert en soirée. La journée se terminera par un feu d’artifice</w:t>
      </w:r>
      <w:r w:rsidR="00C92DC1">
        <w:rPr>
          <w:rFonts w:asciiTheme="minorHAnsi" w:hAnsiTheme="minorHAnsi" w:cstheme="minorHAnsi"/>
          <w:bCs/>
          <w:sz w:val="22"/>
          <w:szCs w:val="22"/>
        </w:rPr>
        <w:t xml:space="preserve"> sur le stade</w:t>
      </w:r>
      <w:r>
        <w:rPr>
          <w:rFonts w:asciiTheme="minorHAnsi" w:hAnsiTheme="minorHAnsi" w:cstheme="minorHAnsi"/>
          <w:bCs/>
          <w:sz w:val="22"/>
          <w:szCs w:val="22"/>
        </w:rPr>
        <w:t xml:space="preserve">. </w:t>
      </w:r>
      <w:r w:rsidR="00585A06">
        <w:rPr>
          <w:rFonts w:asciiTheme="minorHAnsi" w:hAnsiTheme="minorHAnsi" w:cstheme="minorHAnsi"/>
          <w:bCs/>
          <w:sz w:val="22"/>
          <w:szCs w:val="22"/>
        </w:rPr>
        <w:t>Un stand de restauration sera à disposition des exposants, ainsi q</w:t>
      </w:r>
      <w:r w:rsidR="00B464DC">
        <w:rPr>
          <w:rFonts w:asciiTheme="minorHAnsi" w:hAnsiTheme="minorHAnsi" w:cstheme="minorHAnsi"/>
          <w:bCs/>
          <w:sz w:val="22"/>
          <w:szCs w:val="22"/>
        </w:rPr>
        <w:t>ue du</w:t>
      </w:r>
      <w:r w:rsidR="00585A06">
        <w:rPr>
          <w:rFonts w:asciiTheme="minorHAnsi" w:hAnsiTheme="minorHAnsi" w:cstheme="minorHAnsi"/>
          <w:bCs/>
          <w:sz w:val="22"/>
          <w:szCs w:val="22"/>
        </w:rPr>
        <w:t xml:space="preserve"> public tout au long de la journée</w:t>
      </w:r>
      <w:r w:rsidR="00D164D5">
        <w:rPr>
          <w:rFonts w:asciiTheme="minorHAnsi" w:hAnsiTheme="minorHAnsi" w:cstheme="minorHAnsi"/>
          <w:bCs/>
          <w:sz w:val="22"/>
          <w:szCs w:val="22"/>
        </w:rPr>
        <w:t>.</w:t>
      </w:r>
    </w:p>
    <w:p w:rsidR="00C92DC1" w:rsidRPr="008D508E" w:rsidRDefault="00C92DC1" w:rsidP="008D508E">
      <w:pPr>
        <w:pStyle w:val="Paragraphedeliste"/>
        <w:rPr>
          <w:rFonts w:asciiTheme="minorHAnsi" w:hAnsiTheme="minorHAnsi" w:cstheme="minorHAnsi"/>
          <w:bCs/>
          <w:sz w:val="22"/>
          <w:szCs w:val="22"/>
        </w:rPr>
      </w:pPr>
      <w:r>
        <w:rPr>
          <w:rFonts w:asciiTheme="minorHAnsi" w:hAnsiTheme="minorHAnsi" w:cstheme="minorHAnsi"/>
          <w:bCs/>
          <w:sz w:val="22"/>
          <w:szCs w:val="22"/>
        </w:rPr>
        <w:t xml:space="preserve">La Commission Fêtes et Cérémonies se </w:t>
      </w:r>
      <w:r w:rsidR="00AE1C0B">
        <w:rPr>
          <w:rFonts w:asciiTheme="minorHAnsi" w:hAnsiTheme="minorHAnsi" w:cstheme="minorHAnsi"/>
          <w:bCs/>
          <w:sz w:val="22"/>
          <w:szCs w:val="22"/>
        </w:rPr>
        <w:t>réunira</w:t>
      </w:r>
      <w:r>
        <w:rPr>
          <w:rFonts w:asciiTheme="minorHAnsi" w:hAnsiTheme="minorHAnsi" w:cstheme="minorHAnsi"/>
          <w:bCs/>
          <w:sz w:val="22"/>
          <w:szCs w:val="22"/>
        </w:rPr>
        <w:t xml:space="preserve"> rapidement pour la mise en place de l’organisation.</w:t>
      </w:r>
    </w:p>
    <w:p w:rsidR="001135B6" w:rsidRDefault="00C92DC1"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B464DC">
        <w:rPr>
          <w:rFonts w:asciiTheme="minorHAnsi" w:hAnsiTheme="minorHAnsi" w:cstheme="minorHAnsi"/>
          <w:b/>
          <w:bCs/>
          <w:sz w:val="22"/>
          <w:szCs w:val="22"/>
        </w:rPr>
        <w:t>La Fibre</w:t>
      </w:r>
      <w:r>
        <w:rPr>
          <w:rFonts w:asciiTheme="minorHAnsi" w:hAnsiTheme="minorHAnsi" w:cstheme="minorHAnsi"/>
          <w:bCs/>
          <w:sz w:val="22"/>
          <w:szCs w:val="22"/>
        </w:rPr>
        <w:t> : Il a été constaté que certaines entreprises laissaient leurs déchets sur place. Monsieur le Maire est intervenu auprès des entreprises réalisant les travaux de la fibre.</w:t>
      </w:r>
    </w:p>
    <w:p w:rsidR="00C92DC1" w:rsidRDefault="00B464DC"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Pr>
          <w:rFonts w:asciiTheme="minorHAnsi" w:hAnsiTheme="minorHAnsi" w:cstheme="minorHAnsi"/>
          <w:b/>
          <w:bCs/>
          <w:sz w:val="22"/>
          <w:szCs w:val="22"/>
        </w:rPr>
        <w:t>Rumeurs</w:t>
      </w:r>
      <w:r w:rsidR="00C92DC1">
        <w:rPr>
          <w:rFonts w:asciiTheme="minorHAnsi" w:hAnsiTheme="minorHAnsi" w:cstheme="minorHAnsi"/>
          <w:bCs/>
          <w:sz w:val="22"/>
          <w:szCs w:val="22"/>
        </w:rPr>
        <w:t> : Il a été rapporté que des rumeurs concernant certains élus et personnel communal circulaient dans la commune. Ces rumeurs sont infondées.</w:t>
      </w:r>
    </w:p>
    <w:p w:rsidR="00C92DC1" w:rsidRDefault="00C92DC1"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B464DC">
        <w:rPr>
          <w:rFonts w:asciiTheme="minorHAnsi" w:hAnsiTheme="minorHAnsi" w:cstheme="minorHAnsi"/>
          <w:b/>
          <w:bCs/>
          <w:sz w:val="22"/>
          <w:szCs w:val="22"/>
        </w:rPr>
        <w:t>Urbanisme</w:t>
      </w:r>
      <w:r>
        <w:rPr>
          <w:rFonts w:asciiTheme="minorHAnsi" w:hAnsiTheme="minorHAnsi" w:cstheme="minorHAnsi"/>
          <w:bCs/>
          <w:sz w:val="22"/>
          <w:szCs w:val="22"/>
        </w:rPr>
        <w:t> : La hauteur d’une construction sur la commune a interpellé un concitoyen. Après vérification, le PLU (Plan Local d’Urbanisme) est bien respecté.</w:t>
      </w:r>
    </w:p>
    <w:p w:rsidR="00C92DC1" w:rsidRDefault="00C92DC1"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B464DC">
        <w:rPr>
          <w:rFonts w:asciiTheme="minorHAnsi" w:hAnsiTheme="minorHAnsi" w:cstheme="minorHAnsi"/>
          <w:b/>
          <w:bCs/>
          <w:sz w:val="22"/>
          <w:szCs w:val="22"/>
        </w:rPr>
        <w:t>Vitesse</w:t>
      </w:r>
      <w:r>
        <w:rPr>
          <w:rFonts w:asciiTheme="minorHAnsi" w:hAnsiTheme="minorHAnsi" w:cstheme="minorHAnsi"/>
          <w:bCs/>
          <w:sz w:val="22"/>
          <w:szCs w:val="22"/>
        </w:rPr>
        <w:t xml:space="preserve"> : </w:t>
      </w:r>
      <w:r w:rsidR="00445DDD">
        <w:rPr>
          <w:rFonts w:asciiTheme="minorHAnsi" w:hAnsiTheme="minorHAnsi" w:cstheme="minorHAnsi"/>
          <w:bCs/>
          <w:sz w:val="22"/>
          <w:szCs w:val="22"/>
        </w:rPr>
        <w:t xml:space="preserve">Il est constaté régulièrement, depuis quelques temps, </w:t>
      </w:r>
      <w:r w:rsidR="00B464DC">
        <w:rPr>
          <w:rFonts w:asciiTheme="minorHAnsi" w:hAnsiTheme="minorHAnsi" w:cstheme="minorHAnsi"/>
          <w:bCs/>
          <w:sz w:val="22"/>
          <w:szCs w:val="22"/>
        </w:rPr>
        <w:t xml:space="preserve">que </w:t>
      </w:r>
      <w:r w:rsidR="00445DDD">
        <w:rPr>
          <w:rFonts w:asciiTheme="minorHAnsi" w:hAnsiTheme="minorHAnsi" w:cstheme="minorHAnsi"/>
          <w:bCs/>
          <w:sz w:val="22"/>
          <w:szCs w:val="22"/>
        </w:rPr>
        <w:t>des véhicules roul</w:t>
      </w:r>
      <w:r w:rsidR="00B464DC">
        <w:rPr>
          <w:rFonts w:asciiTheme="minorHAnsi" w:hAnsiTheme="minorHAnsi" w:cstheme="minorHAnsi"/>
          <w:bCs/>
          <w:sz w:val="22"/>
          <w:szCs w:val="22"/>
        </w:rPr>
        <w:t>e</w:t>
      </w:r>
      <w:r w:rsidR="00445DDD">
        <w:rPr>
          <w:rFonts w:asciiTheme="minorHAnsi" w:hAnsiTheme="minorHAnsi" w:cstheme="minorHAnsi"/>
          <w:bCs/>
          <w:sz w:val="22"/>
          <w:szCs w:val="22"/>
        </w:rPr>
        <w:t>nt à une vitesse excessive. Ces faits ont été signalés en Gendarmerie.</w:t>
      </w:r>
    </w:p>
    <w:p w:rsidR="00445DDD" w:rsidRPr="001135B6" w:rsidRDefault="00445DDD" w:rsidP="001135B6">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B464DC">
        <w:rPr>
          <w:rFonts w:asciiTheme="minorHAnsi" w:hAnsiTheme="minorHAnsi" w:cstheme="minorHAnsi"/>
          <w:b/>
          <w:bCs/>
          <w:sz w:val="22"/>
          <w:szCs w:val="22"/>
        </w:rPr>
        <w:t>Décès de Romain BOUTEILLE</w:t>
      </w:r>
      <w:r>
        <w:rPr>
          <w:rFonts w:asciiTheme="minorHAnsi" w:hAnsiTheme="minorHAnsi" w:cstheme="minorHAnsi"/>
          <w:bCs/>
          <w:sz w:val="22"/>
          <w:szCs w:val="22"/>
        </w:rPr>
        <w:t xml:space="preserve"> le 31 mai 2021 à l’âge de 84 ans. Il a habité plusieurs années </w:t>
      </w:r>
      <w:r w:rsidR="00B464DC">
        <w:rPr>
          <w:rFonts w:asciiTheme="minorHAnsi" w:hAnsiTheme="minorHAnsi" w:cstheme="minorHAnsi"/>
          <w:bCs/>
          <w:sz w:val="22"/>
          <w:szCs w:val="22"/>
        </w:rPr>
        <w:t>le</w:t>
      </w:r>
      <w:r>
        <w:rPr>
          <w:rFonts w:asciiTheme="minorHAnsi" w:hAnsiTheme="minorHAnsi" w:cstheme="minorHAnsi"/>
          <w:bCs/>
          <w:sz w:val="22"/>
          <w:szCs w:val="22"/>
        </w:rPr>
        <w:t xml:space="preserve"> Hameau d’Aubray.</w:t>
      </w:r>
    </w:p>
    <w:p w:rsidR="001135B6" w:rsidRPr="001135B6" w:rsidRDefault="001135B6" w:rsidP="001135B6">
      <w:pPr>
        <w:suppressAutoHyphens/>
        <w:autoSpaceDN w:val="0"/>
        <w:textAlignment w:val="baseline"/>
        <w:rPr>
          <w:rFonts w:asciiTheme="minorHAnsi" w:hAnsiTheme="minorHAnsi" w:cstheme="minorHAnsi"/>
          <w:bCs/>
          <w:sz w:val="22"/>
          <w:szCs w:val="22"/>
        </w:rPr>
      </w:pPr>
    </w:p>
    <w:p w:rsidR="008F6492" w:rsidRPr="001135B6" w:rsidRDefault="008F6492" w:rsidP="008F6492">
      <w:pPr>
        <w:suppressAutoHyphens/>
        <w:autoSpaceDN w:val="0"/>
        <w:textAlignment w:val="baseline"/>
        <w:rPr>
          <w:rFonts w:asciiTheme="minorHAnsi" w:hAnsiTheme="minorHAnsi" w:cstheme="minorHAnsi"/>
          <w:sz w:val="22"/>
          <w:szCs w:val="22"/>
        </w:rPr>
      </w:pPr>
    </w:p>
    <w:p w:rsidR="00A462BB" w:rsidRPr="001135B6" w:rsidRDefault="00287461" w:rsidP="00287461">
      <w:pPr>
        <w:pStyle w:val="Paragraphedeliste"/>
        <w:ind w:left="0"/>
        <w:rPr>
          <w:rFonts w:asciiTheme="minorHAnsi" w:hAnsiTheme="minorHAnsi" w:cstheme="minorHAnsi"/>
          <w:strike/>
          <w:sz w:val="22"/>
          <w:szCs w:val="22"/>
        </w:rPr>
      </w:pPr>
      <w:r w:rsidRPr="001135B6">
        <w:rPr>
          <w:rFonts w:asciiTheme="minorHAnsi" w:hAnsiTheme="minorHAnsi" w:cstheme="minorHAnsi"/>
          <w:sz w:val="22"/>
          <w:szCs w:val="22"/>
        </w:rPr>
        <w:t>L’ordre du jour étant épuisé</w:t>
      </w:r>
      <w:r w:rsidR="00D90512" w:rsidRPr="001135B6">
        <w:rPr>
          <w:rFonts w:asciiTheme="minorHAnsi" w:hAnsiTheme="minorHAnsi" w:cstheme="minorHAnsi"/>
          <w:sz w:val="22"/>
          <w:szCs w:val="22"/>
        </w:rPr>
        <w:t>,</w:t>
      </w:r>
      <w:r w:rsidRPr="001135B6">
        <w:rPr>
          <w:rFonts w:asciiTheme="minorHAnsi" w:hAnsiTheme="minorHAnsi" w:cstheme="minorHAnsi"/>
          <w:sz w:val="22"/>
          <w:szCs w:val="22"/>
        </w:rPr>
        <w:t xml:space="preserve"> la séance est levée à</w:t>
      </w:r>
      <w:r w:rsidRPr="001135B6">
        <w:rPr>
          <w:rFonts w:asciiTheme="minorHAnsi" w:hAnsiTheme="minorHAnsi" w:cstheme="minorHAnsi"/>
          <w:strike/>
          <w:sz w:val="22"/>
          <w:szCs w:val="22"/>
        </w:rPr>
        <w:t xml:space="preserve"> </w:t>
      </w:r>
      <w:r w:rsidR="00445DDD">
        <w:rPr>
          <w:rFonts w:asciiTheme="minorHAnsi" w:hAnsiTheme="minorHAnsi" w:cstheme="minorHAnsi"/>
          <w:sz w:val="22"/>
          <w:szCs w:val="22"/>
        </w:rPr>
        <w:t>21h55.</w:t>
      </w:r>
    </w:p>
    <w:p w:rsidR="00287461" w:rsidRPr="001135B6" w:rsidRDefault="00287461" w:rsidP="00287461">
      <w:pPr>
        <w:tabs>
          <w:tab w:val="center" w:pos="4817"/>
          <w:tab w:val="right" w:pos="9639"/>
        </w:tabs>
        <w:jc w:val="both"/>
        <w:rPr>
          <w:rFonts w:asciiTheme="minorHAnsi" w:hAnsiTheme="minorHAnsi" w:cstheme="minorHAnsi"/>
          <w:sz w:val="22"/>
          <w:szCs w:val="22"/>
        </w:rPr>
      </w:pPr>
    </w:p>
    <w:p w:rsidR="00A010E4" w:rsidRPr="001135B6" w:rsidRDefault="00A010E4" w:rsidP="00A010E4">
      <w:pPr>
        <w:pStyle w:val="Paragraphedeliste"/>
        <w:tabs>
          <w:tab w:val="left" w:pos="3402"/>
          <w:tab w:val="left" w:pos="7088"/>
        </w:tabs>
        <w:ind w:left="0"/>
        <w:rPr>
          <w:rFonts w:asciiTheme="minorHAnsi" w:hAnsiTheme="minorHAnsi" w:cstheme="minorHAnsi"/>
          <w:b/>
          <w:sz w:val="22"/>
          <w:szCs w:val="22"/>
        </w:rPr>
      </w:pPr>
      <w:r w:rsidRPr="001135B6">
        <w:rPr>
          <w:rFonts w:asciiTheme="minorHAnsi" w:hAnsiTheme="minorHAnsi" w:cstheme="minorHAnsi"/>
          <w:b/>
          <w:sz w:val="22"/>
          <w:szCs w:val="22"/>
        </w:rPr>
        <w:t>Le Maire,</w:t>
      </w:r>
      <w:r w:rsidRPr="001135B6">
        <w:rPr>
          <w:rFonts w:asciiTheme="minorHAnsi" w:hAnsiTheme="minorHAnsi" w:cstheme="minorHAnsi"/>
          <w:b/>
          <w:sz w:val="22"/>
          <w:szCs w:val="22"/>
        </w:rPr>
        <w:tab/>
        <w:t>L</w:t>
      </w:r>
      <w:r w:rsidR="00935E93" w:rsidRPr="001135B6">
        <w:rPr>
          <w:rFonts w:asciiTheme="minorHAnsi" w:hAnsiTheme="minorHAnsi" w:cstheme="minorHAnsi"/>
          <w:b/>
          <w:sz w:val="22"/>
          <w:szCs w:val="22"/>
        </w:rPr>
        <w:t>e</w:t>
      </w:r>
      <w:r w:rsidRPr="001135B6">
        <w:rPr>
          <w:rFonts w:asciiTheme="minorHAnsi" w:hAnsiTheme="minorHAnsi" w:cstheme="minorHAnsi"/>
          <w:b/>
          <w:sz w:val="22"/>
          <w:szCs w:val="22"/>
        </w:rPr>
        <w:t xml:space="preserve"> Secrétaire de Séance,</w:t>
      </w:r>
      <w:r w:rsidRPr="001135B6">
        <w:rPr>
          <w:rFonts w:asciiTheme="minorHAnsi" w:hAnsiTheme="minorHAnsi" w:cstheme="minorHAnsi"/>
          <w:b/>
          <w:sz w:val="22"/>
          <w:szCs w:val="22"/>
        </w:rPr>
        <w:tab/>
        <w:t>Les Conseillers</w:t>
      </w:r>
    </w:p>
    <w:p w:rsidR="00951C9A" w:rsidRPr="008263A7" w:rsidRDefault="00A010E4" w:rsidP="00B77C74">
      <w:pPr>
        <w:pStyle w:val="Paragraphedeliste"/>
        <w:tabs>
          <w:tab w:val="left" w:pos="3402"/>
        </w:tabs>
        <w:ind w:left="0"/>
        <w:rPr>
          <w:rFonts w:asciiTheme="minorHAnsi" w:eastAsia="Arial Unicode MS" w:hAnsiTheme="minorHAnsi" w:cstheme="minorHAnsi"/>
          <w:b/>
          <w:sz w:val="22"/>
          <w:szCs w:val="22"/>
        </w:rPr>
      </w:pPr>
      <w:r w:rsidRPr="008263A7">
        <w:rPr>
          <w:rFonts w:asciiTheme="minorHAnsi" w:hAnsiTheme="minorHAnsi" w:cstheme="minorHAnsi"/>
          <w:b/>
          <w:sz w:val="22"/>
          <w:szCs w:val="22"/>
        </w:rPr>
        <w:t>MARTIN Alain</w:t>
      </w:r>
    </w:p>
    <w:sectPr w:rsidR="00951C9A" w:rsidRPr="008263A7"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A32C7"/>
    <w:multiLevelType w:val="hybridMultilevel"/>
    <w:tmpl w:val="BD247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8"/>
  </w:num>
  <w:num w:numId="4">
    <w:abstractNumId w:val="20"/>
  </w:num>
  <w:num w:numId="5">
    <w:abstractNumId w:val="15"/>
  </w:num>
  <w:num w:numId="6">
    <w:abstractNumId w:val="14"/>
  </w:num>
  <w:num w:numId="7">
    <w:abstractNumId w:val="1"/>
  </w:num>
  <w:num w:numId="8">
    <w:abstractNumId w:val="10"/>
  </w:num>
  <w:num w:numId="9">
    <w:abstractNumId w:val="8"/>
  </w:num>
  <w:num w:numId="10">
    <w:abstractNumId w:val="9"/>
  </w:num>
  <w:num w:numId="11">
    <w:abstractNumId w:val="19"/>
  </w:num>
  <w:num w:numId="12">
    <w:abstractNumId w:val="17"/>
  </w:num>
  <w:num w:numId="13">
    <w:abstractNumId w:val="5"/>
  </w:num>
  <w:num w:numId="14">
    <w:abstractNumId w:val="11"/>
  </w:num>
  <w:num w:numId="15">
    <w:abstractNumId w:val="12"/>
  </w:num>
  <w:num w:numId="16">
    <w:abstractNumId w:val="2"/>
  </w:num>
  <w:num w:numId="17">
    <w:abstractNumId w:val="4"/>
  </w:num>
  <w:num w:numId="18">
    <w:abstractNumId w:val="3"/>
  </w:num>
  <w:num w:numId="19">
    <w:abstractNumId w:val="13"/>
  </w:num>
  <w:num w:numId="20">
    <w:abstractNumId w:val="0"/>
  </w:num>
  <w:num w:numId="21">
    <w:abstractNumId w:val="16"/>
  </w:num>
  <w:num w:numId="22">
    <w:abstractNumId w:val="21"/>
  </w:num>
  <w:num w:numId="23">
    <w:abstractNumId w:val="3"/>
  </w:num>
  <w:num w:numId="24">
    <w:abstractNumId w:val="3"/>
  </w:num>
  <w:num w:numId="25">
    <w:abstractNumId w:val="16"/>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05D6"/>
    <w:rsid w:val="0007157A"/>
    <w:rsid w:val="000B3E28"/>
    <w:rsid w:val="000C0289"/>
    <w:rsid w:val="000C6B30"/>
    <w:rsid w:val="000F1190"/>
    <w:rsid w:val="00111442"/>
    <w:rsid w:val="00111E17"/>
    <w:rsid w:val="001135B6"/>
    <w:rsid w:val="001268B9"/>
    <w:rsid w:val="001803B0"/>
    <w:rsid w:val="001C41B2"/>
    <w:rsid w:val="001C6181"/>
    <w:rsid w:val="001D3623"/>
    <w:rsid w:val="001D71C4"/>
    <w:rsid w:val="001F6B45"/>
    <w:rsid w:val="00206CA3"/>
    <w:rsid w:val="00222F0D"/>
    <w:rsid w:val="00236AB7"/>
    <w:rsid w:val="00272CF2"/>
    <w:rsid w:val="00287461"/>
    <w:rsid w:val="002941C4"/>
    <w:rsid w:val="002C10DF"/>
    <w:rsid w:val="002C2479"/>
    <w:rsid w:val="002E28C1"/>
    <w:rsid w:val="002F0494"/>
    <w:rsid w:val="002F296D"/>
    <w:rsid w:val="003315DD"/>
    <w:rsid w:val="00332361"/>
    <w:rsid w:val="0034234F"/>
    <w:rsid w:val="003605EC"/>
    <w:rsid w:val="00364D19"/>
    <w:rsid w:val="0036772A"/>
    <w:rsid w:val="00375E04"/>
    <w:rsid w:val="0039016B"/>
    <w:rsid w:val="00396799"/>
    <w:rsid w:val="003A2CA0"/>
    <w:rsid w:val="003B66A1"/>
    <w:rsid w:val="003D6626"/>
    <w:rsid w:val="003D749D"/>
    <w:rsid w:val="003E1206"/>
    <w:rsid w:val="003E4A57"/>
    <w:rsid w:val="004029FB"/>
    <w:rsid w:val="00412F6B"/>
    <w:rsid w:val="004139F3"/>
    <w:rsid w:val="00426D68"/>
    <w:rsid w:val="00433938"/>
    <w:rsid w:val="00445DDD"/>
    <w:rsid w:val="0045247F"/>
    <w:rsid w:val="00466BA7"/>
    <w:rsid w:val="00472BE9"/>
    <w:rsid w:val="00490839"/>
    <w:rsid w:val="00491553"/>
    <w:rsid w:val="00494ADC"/>
    <w:rsid w:val="004A4D78"/>
    <w:rsid w:val="004A68F3"/>
    <w:rsid w:val="004B4381"/>
    <w:rsid w:val="004C4368"/>
    <w:rsid w:val="004D0B72"/>
    <w:rsid w:val="004F2606"/>
    <w:rsid w:val="004F638E"/>
    <w:rsid w:val="00505D25"/>
    <w:rsid w:val="00512F47"/>
    <w:rsid w:val="0052726C"/>
    <w:rsid w:val="00530709"/>
    <w:rsid w:val="005317A8"/>
    <w:rsid w:val="00534D7C"/>
    <w:rsid w:val="00535D2D"/>
    <w:rsid w:val="00554F7D"/>
    <w:rsid w:val="00555BB3"/>
    <w:rsid w:val="00561EC0"/>
    <w:rsid w:val="00573E1C"/>
    <w:rsid w:val="0057454A"/>
    <w:rsid w:val="00576BC9"/>
    <w:rsid w:val="0058456B"/>
    <w:rsid w:val="00585A06"/>
    <w:rsid w:val="005B62F1"/>
    <w:rsid w:val="005C6213"/>
    <w:rsid w:val="005D6192"/>
    <w:rsid w:val="005D7852"/>
    <w:rsid w:val="006127A4"/>
    <w:rsid w:val="00642A73"/>
    <w:rsid w:val="00645008"/>
    <w:rsid w:val="00652F0C"/>
    <w:rsid w:val="0065332D"/>
    <w:rsid w:val="00667D24"/>
    <w:rsid w:val="00671D7D"/>
    <w:rsid w:val="00681FCA"/>
    <w:rsid w:val="00693EBC"/>
    <w:rsid w:val="006C4045"/>
    <w:rsid w:val="006E216B"/>
    <w:rsid w:val="006E78BA"/>
    <w:rsid w:val="0073511F"/>
    <w:rsid w:val="0074033E"/>
    <w:rsid w:val="00743ADB"/>
    <w:rsid w:val="0078387E"/>
    <w:rsid w:val="00787512"/>
    <w:rsid w:val="007C1A12"/>
    <w:rsid w:val="007D24F4"/>
    <w:rsid w:val="007D4BE6"/>
    <w:rsid w:val="00806131"/>
    <w:rsid w:val="0082484A"/>
    <w:rsid w:val="008263A7"/>
    <w:rsid w:val="00840962"/>
    <w:rsid w:val="00844A28"/>
    <w:rsid w:val="008545E0"/>
    <w:rsid w:val="0086713D"/>
    <w:rsid w:val="008A24AE"/>
    <w:rsid w:val="008A2A19"/>
    <w:rsid w:val="008A5414"/>
    <w:rsid w:val="008A779B"/>
    <w:rsid w:val="008B566B"/>
    <w:rsid w:val="008B6411"/>
    <w:rsid w:val="008D508E"/>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5D8"/>
    <w:rsid w:val="009F6720"/>
    <w:rsid w:val="00A010E4"/>
    <w:rsid w:val="00A33C8A"/>
    <w:rsid w:val="00A44BCC"/>
    <w:rsid w:val="00A462BB"/>
    <w:rsid w:val="00A51FFE"/>
    <w:rsid w:val="00A60C7D"/>
    <w:rsid w:val="00A616FC"/>
    <w:rsid w:val="00A707E8"/>
    <w:rsid w:val="00A92181"/>
    <w:rsid w:val="00AB198C"/>
    <w:rsid w:val="00AB7DCC"/>
    <w:rsid w:val="00AD77A7"/>
    <w:rsid w:val="00AE1C0B"/>
    <w:rsid w:val="00AE1F4B"/>
    <w:rsid w:val="00AE3753"/>
    <w:rsid w:val="00AF541B"/>
    <w:rsid w:val="00AF602B"/>
    <w:rsid w:val="00B14E36"/>
    <w:rsid w:val="00B17FE5"/>
    <w:rsid w:val="00B34E41"/>
    <w:rsid w:val="00B464DC"/>
    <w:rsid w:val="00B55022"/>
    <w:rsid w:val="00B77C74"/>
    <w:rsid w:val="00B87B31"/>
    <w:rsid w:val="00B94023"/>
    <w:rsid w:val="00B976D5"/>
    <w:rsid w:val="00BA5C1C"/>
    <w:rsid w:val="00BB3C35"/>
    <w:rsid w:val="00BC37CD"/>
    <w:rsid w:val="00BC77FD"/>
    <w:rsid w:val="00BE3536"/>
    <w:rsid w:val="00BF0887"/>
    <w:rsid w:val="00C01114"/>
    <w:rsid w:val="00C04D1C"/>
    <w:rsid w:val="00C125AD"/>
    <w:rsid w:val="00C217F0"/>
    <w:rsid w:val="00C233EB"/>
    <w:rsid w:val="00C477E7"/>
    <w:rsid w:val="00C865A3"/>
    <w:rsid w:val="00C9008C"/>
    <w:rsid w:val="00C92DC1"/>
    <w:rsid w:val="00CD5620"/>
    <w:rsid w:val="00CD7DBD"/>
    <w:rsid w:val="00D13210"/>
    <w:rsid w:val="00D164D5"/>
    <w:rsid w:val="00D2107A"/>
    <w:rsid w:val="00D271C1"/>
    <w:rsid w:val="00D462CB"/>
    <w:rsid w:val="00D46F67"/>
    <w:rsid w:val="00D90512"/>
    <w:rsid w:val="00DB2E9F"/>
    <w:rsid w:val="00DF390B"/>
    <w:rsid w:val="00DF5843"/>
    <w:rsid w:val="00E07447"/>
    <w:rsid w:val="00E213CE"/>
    <w:rsid w:val="00E213F2"/>
    <w:rsid w:val="00E2473B"/>
    <w:rsid w:val="00E342D4"/>
    <w:rsid w:val="00E37869"/>
    <w:rsid w:val="00E41B1C"/>
    <w:rsid w:val="00E42B99"/>
    <w:rsid w:val="00E4388D"/>
    <w:rsid w:val="00E64B49"/>
    <w:rsid w:val="00E677EE"/>
    <w:rsid w:val="00E7084C"/>
    <w:rsid w:val="00E8790C"/>
    <w:rsid w:val="00E908D6"/>
    <w:rsid w:val="00E95A75"/>
    <w:rsid w:val="00EA6430"/>
    <w:rsid w:val="00EC7FDD"/>
    <w:rsid w:val="00F272E7"/>
    <w:rsid w:val="00F52AF3"/>
    <w:rsid w:val="00F66315"/>
    <w:rsid w:val="00F66D98"/>
    <w:rsid w:val="00F67A2F"/>
    <w:rsid w:val="00F7203C"/>
    <w:rsid w:val="00F82A21"/>
    <w:rsid w:val="00FA40C1"/>
    <w:rsid w:val="00FA6CD4"/>
    <w:rsid w:val="00FC4D78"/>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7E25"/>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7845-5C0D-4FF8-B9D4-48892F7D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3</Pages>
  <Words>1086</Words>
  <Characters>5976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100</cp:revision>
  <cp:lastPrinted>2021-06-05T08:42:00Z</cp:lastPrinted>
  <dcterms:created xsi:type="dcterms:W3CDTF">2018-02-26T08:29:00Z</dcterms:created>
  <dcterms:modified xsi:type="dcterms:W3CDTF">2021-06-17T09:07:00Z</dcterms:modified>
</cp:coreProperties>
</file>